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7CBC3" w14:textId="77777777" w:rsidR="00456B1A" w:rsidRPr="00AB3569" w:rsidRDefault="00090660" w:rsidP="00090660">
      <w:pPr>
        <w:rPr>
          <w:b/>
          <w:i/>
          <w:sz w:val="24"/>
          <w:szCs w:val="24"/>
          <w:lang w:val="en-US"/>
        </w:rPr>
      </w:pPr>
      <w:r w:rsidRPr="00AB3569">
        <w:rPr>
          <w:b/>
          <w:sz w:val="24"/>
          <w:szCs w:val="24"/>
          <w:lang w:val="en-US"/>
        </w:rPr>
        <w:t xml:space="preserve">Effective judicial protection of </w:t>
      </w:r>
      <w:r w:rsidR="005C5570" w:rsidRPr="00AB3569">
        <w:rPr>
          <w:b/>
          <w:sz w:val="24"/>
          <w:szCs w:val="24"/>
          <w:lang w:val="en-US"/>
        </w:rPr>
        <w:t>individual data protection</w:t>
      </w:r>
      <w:r w:rsidRPr="00AB3569">
        <w:rPr>
          <w:b/>
          <w:sz w:val="24"/>
          <w:szCs w:val="24"/>
          <w:lang w:val="en-US"/>
        </w:rPr>
        <w:t xml:space="preserve"> rights: </w:t>
      </w:r>
      <w:r w:rsidR="006E621A" w:rsidRPr="00AB3569">
        <w:rPr>
          <w:b/>
          <w:i/>
          <w:noProof/>
          <w:sz w:val="24"/>
          <w:szCs w:val="24"/>
          <w:lang w:val="en-US"/>
        </w:rPr>
        <w:t>Puškár</w:t>
      </w:r>
      <w:r w:rsidRPr="00AB3569">
        <w:rPr>
          <w:b/>
          <w:i/>
          <w:sz w:val="24"/>
          <w:szCs w:val="24"/>
          <w:lang w:val="en-US"/>
        </w:rPr>
        <w:t xml:space="preserve"> </w:t>
      </w:r>
    </w:p>
    <w:p w14:paraId="09310263" w14:textId="77777777" w:rsidR="00456B1A" w:rsidRPr="00AB3569" w:rsidRDefault="00456B1A" w:rsidP="00090660">
      <w:pPr>
        <w:rPr>
          <w:sz w:val="24"/>
          <w:szCs w:val="24"/>
          <w:lang w:val="en-US"/>
        </w:rPr>
      </w:pPr>
      <w:r w:rsidRPr="00AB3569">
        <w:rPr>
          <w:sz w:val="24"/>
          <w:szCs w:val="24"/>
          <w:lang w:val="en-US"/>
        </w:rPr>
        <w:t xml:space="preserve">Case C-73/16, </w:t>
      </w:r>
      <w:r w:rsidRPr="00AB3569">
        <w:rPr>
          <w:i/>
          <w:sz w:val="24"/>
          <w:szCs w:val="24"/>
          <w:lang w:val="sl-SI"/>
        </w:rPr>
        <w:t xml:space="preserve">Peter </w:t>
      </w:r>
      <w:r w:rsidR="006E621A" w:rsidRPr="00AB3569">
        <w:rPr>
          <w:i/>
          <w:noProof/>
          <w:sz w:val="24"/>
          <w:szCs w:val="24"/>
          <w:lang w:val="sl-SI"/>
        </w:rPr>
        <w:t>Puškár</w:t>
      </w:r>
      <w:r w:rsidRPr="00AB3569">
        <w:rPr>
          <w:i/>
          <w:sz w:val="24"/>
          <w:szCs w:val="24"/>
          <w:lang w:val="sl-SI"/>
        </w:rPr>
        <w:t xml:space="preserve"> v Finančné riaditeľstvo Slovenskej republiky and Kriminálny úrad finančnej správy</w:t>
      </w:r>
      <w:r w:rsidRPr="00AB3569">
        <w:rPr>
          <w:i/>
          <w:sz w:val="24"/>
          <w:szCs w:val="24"/>
          <w:lang w:val="en-US"/>
        </w:rPr>
        <w:t xml:space="preserve">, </w:t>
      </w:r>
      <w:r w:rsidRPr="00AB3569">
        <w:rPr>
          <w:sz w:val="24"/>
          <w:szCs w:val="24"/>
          <w:lang w:val="en-US"/>
        </w:rPr>
        <w:t xml:space="preserve">judgment of the Court (second Chamber) of 27 September 2017 </w:t>
      </w:r>
    </w:p>
    <w:p w14:paraId="38353DE6" w14:textId="77777777" w:rsidR="00090660" w:rsidRPr="00AB3569" w:rsidRDefault="00090660" w:rsidP="00090660">
      <w:pPr>
        <w:pStyle w:val="ListParagraph"/>
        <w:numPr>
          <w:ilvl w:val="0"/>
          <w:numId w:val="1"/>
        </w:numPr>
        <w:rPr>
          <w:b/>
          <w:sz w:val="24"/>
          <w:szCs w:val="24"/>
          <w:lang w:val="en-US"/>
        </w:rPr>
      </w:pPr>
      <w:r w:rsidRPr="00AB3569">
        <w:rPr>
          <w:b/>
          <w:sz w:val="24"/>
          <w:szCs w:val="24"/>
          <w:lang w:val="en-US"/>
        </w:rPr>
        <w:t xml:space="preserve">Introduction </w:t>
      </w:r>
    </w:p>
    <w:p w14:paraId="6D94614A" w14:textId="24984A84" w:rsidR="00284FF6" w:rsidRPr="00AB3569" w:rsidRDefault="00090660" w:rsidP="00090660">
      <w:pPr>
        <w:rPr>
          <w:sz w:val="24"/>
          <w:szCs w:val="24"/>
          <w:lang w:val="en-US"/>
        </w:rPr>
      </w:pPr>
      <w:r w:rsidRPr="00AB3569">
        <w:rPr>
          <w:sz w:val="24"/>
          <w:szCs w:val="24"/>
          <w:lang w:val="en-US"/>
        </w:rPr>
        <w:t xml:space="preserve">In </w:t>
      </w:r>
      <w:r w:rsidR="006E621A" w:rsidRPr="00AB3569">
        <w:rPr>
          <w:i/>
          <w:noProof/>
          <w:sz w:val="24"/>
          <w:szCs w:val="24"/>
          <w:lang w:val="en-US"/>
        </w:rPr>
        <w:t>Puškár</w:t>
      </w:r>
      <w:r w:rsidRPr="00AB3569">
        <w:rPr>
          <w:sz w:val="24"/>
          <w:szCs w:val="24"/>
          <w:lang w:val="en-US"/>
        </w:rPr>
        <w:t>, t</w:t>
      </w:r>
      <w:r w:rsidR="008C65E7" w:rsidRPr="00AB3569">
        <w:rPr>
          <w:sz w:val="24"/>
          <w:szCs w:val="24"/>
          <w:lang w:val="en-US"/>
        </w:rPr>
        <w:t xml:space="preserve">he </w:t>
      </w:r>
      <w:r w:rsidR="007B6D4B" w:rsidRPr="00AB3569">
        <w:rPr>
          <w:sz w:val="24"/>
          <w:szCs w:val="24"/>
          <w:lang w:val="en-US"/>
        </w:rPr>
        <w:t>ECJ</w:t>
      </w:r>
      <w:r w:rsidR="008C65E7" w:rsidRPr="00AB3569">
        <w:rPr>
          <w:sz w:val="24"/>
          <w:szCs w:val="24"/>
          <w:lang w:val="en-US"/>
        </w:rPr>
        <w:t xml:space="preserve"> addresses a timely topic: </w:t>
      </w:r>
      <w:r w:rsidRPr="00AB3569">
        <w:rPr>
          <w:sz w:val="24"/>
          <w:szCs w:val="24"/>
          <w:lang w:val="en-US"/>
        </w:rPr>
        <w:t xml:space="preserve">the </w:t>
      </w:r>
      <w:r w:rsidR="0004684E" w:rsidRPr="00AB3569">
        <w:rPr>
          <w:sz w:val="24"/>
          <w:szCs w:val="24"/>
          <w:lang w:val="en-US"/>
        </w:rPr>
        <w:t xml:space="preserve">effective </w:t>
      </w:r>
      <w:r w:rsidR="000C1B04" w:rsidRPr="00AB3569">
        <w:rPr>
          <w:sz w:val="24"/>
          <w:szCs w:val="24"/>
          <w:lang w:val="en-US"/>
        </w:rPr>
        <w:t xml:space="preserve">judicial </w:t>
      </w:r>
      <w:r w:rsidRPr="00AB3569">
        <w:rPr>
          <w:sz w:val="24"/>
          <w:szCs w:val="24"/>
          <w:lang w:val="en-US"/>
        </w:rPr>
        <w:t xml:space="preserve">protection of individual </w:t>
      </w:r>
      <w:r w:rsidR="00EF333A" w:rsidRPr="00AB3569">
        <w:rPr>
          <w:sz w:val="24"/>
          <w:szCs w:val="24"/>
          <w:lang w:val="en-US"/>
        </w:rPr>
        <w:t xml:space="preserve">data </w:t>
      </w:r>
      <w:r w:rsidR="000C1B04" w:rsidRPr="00AB3569">
        <w:rPr>
          <w:sz w:val="24"/>
          <w:szCs w:val="24"/>
          <w:lang w:val="en-US"/>
        </w:rPr>
        <w:t>protection</w:t>
      </w:r>
      <w:r w:rsidR="00EF333A" w:rsidRPr="00AB3569">
        <w:rPr>
          <w:sz w:val="24"/>
          <w:szCs w:val="24"/>
          <w:lang w:val="en-US"/>
        </w:rPr>
        <w:t xml:space="preserve"> rights</w:t>
      </w:r>
      <w:r w:rsidR="00463CC1" w:rsidRPr="00AB3569">
        <w:rPr>
          <w:sz w:val="24"/>
          <w:szCs w:val="24"/>
          <w:lang w:val="en-US"/>
        </w:rPr>
        <w:t>. On 25</w:t>
      </w:r>
      <w:r w:rsidRPr="00AB3569">
        <w:rPr>
          <w:sz w:val="24"/>
          <w:szCs w:val="24"/>
          <w:lang w:val="en-US"/>
        </w:rPr>
        <w:t xml:space="preserve"> May 2018, the General Data Protection Regulation (Regulation 2016/679 – the ‘GDPR’) replaced the former Data Protection Directive (Directive 96/46/EC). </w:t>
      </w:r>
      <w:r w:rsidR="00EF333A" w:rsidRPr="00AB3569">
        <w:rPr>
          <w:sz w:val="24"/>
          <w:szCs w:val="24"/>
          <w:lang w:val="en-US"/>
        </w:rPr>
        <w:t xml:space="preserve">The GDPR improves </w:t>
      </w:r>
      <w:r w:rsidR="00B17DD8" w:rsidRPr="00AB3569">
        <w:rPr>
          <w:sz w:val="24"/>
          <w:szCs w:val="24"/>
          <w:lang w:val="en-US"/>
        </w:rPr>
        <w:t>and harmoni</w:t>
      </w:r>
      <w:r w:rsidR="005E5626" w:rsidRPr="00AB3569">
        <w:rPr>
          <w:sz w:val="24"/>
          <w:szCs w:val="24"/>
          <w:lang w:val="en-US"/>
        </w:rPr>
        <w:t>z</w:t>
      </w:r>
      <w:r w:rsidR="00B17DD8" w:rsidRPr="00AB3569">
        <w:rPr>
          <w:sz w:val="24"/>
          <w:szCs w:val="24"/>
          <w:lang w:val="en-US"/>
        </w:rPr>
        <w:t xml:space="preserve">es </w:t>
      </w:r>
      <w:r w:rsidR="00EF333A" w:rsidRPr="00AB3569">
        <w:rPr>
          <w:sz w:val="24"/>
          <w:szCs w:val="24"/>
          <w:lang w:val="en-US"/>
        </w:rPr>
        <w:t xml:space="preserve">the level of data protection across the European Union. </w:t>
      </w:r>
      <w:r w:rsidR="00121EC6" w:rsidRPr="00AB3569">
        <w:rPr>
          <w:sz w:val="24"/>
          <w:szCs w:val="24"/>
          <w:lang w:val="en-US"/>
        </w:rPr>
        <w:t>The regulation</w:t>
      </w:r>
      <w:r w:rsidR="00064EDB" w:rsidRPr="00AB3569">
        <w:rPr>
          <w:sz w:val="24"/>
          <w:szCs w:val="24"/>
          <w:lang w:val="en-US"/>
        </w:rPr>
        <w:t xml:space="preserve"> </w:t>
      </w:r>
      <w:r w:rsidR="00000AA5" w:rsidRPr="00AB3569">
        <w:rPr>
          <w:sz w:val="24"/>
          <w:szCs w:val="24"/>
          <w:lang w:val="en-US"/>
        </w:rPr>
        <w:t xml:space="preserve">gives substance </w:t>
      </w:r>
      <w:r w:rsidR="00BD3AC2" w:rsidRPr="00AB3569">
        <w:rPr>
          <w:sz w:val="24"/>
          <w:szCs w:val="24"/>
          <w:lang w:val="en-US"/>
        </w:rPr>
        <w:t xml:space="preserve">and detail </w:t>
      </w:r>
      <w:r w:rsidR="00000AA5" w:rsidRPr="00AB3569">
        <w:rPr>
          <w:sz w:val="24"/>
          <w:szCs w:val="24"/>
          <w:lang w:val="en-US"/>
        </w:rPr>
        <w:t>to the right to protection of personal data, as enshrined in Article 8 of th</w:t>
      </w:r>
      <w:r w:rsidR="009501E0" w:rsidRPr="00AB3569">
        <w:rPr>
          <w:sz w:val="24"/>
          <w:szCs w:val="24"/>
          <w:lang w:val="en-US"/>
        </w:rPr>
        <w:t>e Charter of Fundamental Rights</w:t>
      </w:r>
      <w:r w:rsidR="00000AA5" w:rsidRPr="00AB3569">
        <w:rPr>
          <w:sz w:val="24"/>
          <w:szCs w:val="24"/>
          <w:lang w:val="en-US"/>
        </w:rPr>
        <w:t xml:space="preserve"> and Article 16 of the Treaty on t</w:t>
      </w:r>
      <w:r w:rsidR="009501E0" w:rsidRPr="00AB3569">
        <w:rPr>
          <w:sz w:val="24"/>
          <w:szCs w:val="24"/>
          <w:lang w:val="en-US"/>
        </w:rPr>
        <w:t xml:space="preserve">he Functioning of the EU (TFEU), and </w:t>
      </w:r>
      <w:r w:rsidR="001E2365" w:rsidRPr="00AB3569">
        <w:rPr>
          <w:sz w:val="24"/>
          <w:szCs w:val="24"/>
          <w:lang w:val="en-US"/>
        </w:rPr>
        <w:t>reflects the nature of data protection as a fundamental right</w:t>
      </w:r>
      <w:r w:rsidR="005E247E" w:rsidRPr="00AB3569">
        <w:rPr>
          <w:sz w:val="24"/>
          <w:szCs w:val="24"/>
          <w:lang w:val="en-US"/>
        </w:rPr>
        <w:t xml:space="preserve"> in the European Union</w:t>
      </w:r>
      <w:r w:rsidR="001E2365" w:rsidRPr="00AB3569">
        <w:rPr>
          <w:sz w:val="24"/>
          <w:szCs w:val="24"/>
          <w:lang w:val="en-US"/>
        </w:rPr>
        <w:t>.</w:t>
      </w:r>
      <w:r w:rsidR="009501E0" w:rsidRPr="00AB3569">
        <w:rPr>
          <w:rStyle w:val="FootnoteReference"/>
          <w:sz w:val="24"/>
          <w:szCs w:val="24"/>
          <w:lang w:val="en-US"/>
        </w:rPr>
        <w:footnoteReference w:id="1"/>
      </w:r>
      <w:r w:rsidR="009501E0" w:rsidRPr="00AB3569">
        <w:rPr>
          <w:sz w:val="24"/>
          <w:szCs w:val="24"/>
          <w:lang w:val="en-US"/>
        </w:rPr>
        <w:t xml:space="preserve"> </w:t>
      </w:r>
    </w:p>
    <w:p w14:paraId="706551AF" w14:textId="170FFD45" w:rsidR="00267C76" w:rsidRPr="00AB3569" w:rsidRDefault="00EF333A" w:rsidP="00AD373D">
      <w:pPr>
        <w:rPr>
          <w:sz w:val="24"/>
          <w:szCs w:val="24"/>
          <w:lang w:val="en-US"/>
        </w:rPr>
      </w:pPr>
      <w:r w:rsidRPr="00AB3569">
        <w:rPr>
          <w:sz w:val="24"/>
          <w:szCs w:val="24"/>
          <w:lang w:val="en-US"/>
        </w:rPr>
        <w:t xml:space="preserve">The Union legislator has acted in tandem with the </w:t>
      </w:r>
      <w:r w:rsidR="007B6D4B" w:rsidRPr="00AB3569">
        <w:rPr>
          <w:sz w:val="24"/>
          <w:szCs w:val="24"/>
          <w:lang w:val="en-US"/>
        </w:rPr>
        <w:t>ECJ</w:t>
      </w:r>
      <w:r w:rsidRPr="00AB3569">
        <w:rPr>
          <w:sz w:val="24"/>
          <w:szCs w:val="24"/>
          <w:lang w:val="en-US"/>
        </w:rPr>
        <w:t xml:space="preserve"> to strengthen the protection of personal data</w:t>
      </w:r>
      <w:r w:rsidR="00DA4B3B" w:rsidRPr="00AB3569">
        <w:rPr>
          <w:sz w:val="24"/>
          <w:szCs w:val="24"/>
          <w:lang w:val="en-US"/>
        </w:rPr>
        <w:t xml:space="preserve"> within the </w:t>
      </w:r>
      <w:r w:rsidR="00D243D3" w:rsidRPr="00AB3569">
        <w:rPr>
          <w:sz w:val="24"/>
          <w:szCs w:val="24"/>
          <w:lang w:val="en-US"/>
        </w:rPr>
        <w:t>EU</w:t>
      </w:r>
      <w:r w:rsidRPr="00AB3569">
        <w:rPr>
          <w:sz w:val="24"/>
          <w:szCs w:val="24"/>
          <w:lang w:val="en-US"/>
        </w:rPr>
        <w:t xml:space="preserve">. The Court’s commitment to upholding the fundamental right to data protection is visible in </w:t>
      </w:r>
      <w:r w:rsidR="001404DF" w:rsidRPr="00AB3569">
        <w:rPr>
          <w:sz w:val="24"/>
          <w:szCs w:val="24"/>
          <w:lang w:val="en-US"/>
        </w:rPr>
        <w:t>landmark cases</w:t>
      </w:r>
      <w:r w:rsidRPr="00AB3569">
        <w:rPr>
          <w:sz w:val="24"/>
          <w:szCs w:val="24"/>
          <w:lang w:val="en-US"/>
        </w:rPr>
        <w:t xml:space="preserve">, such as </w:t>
      </w:r>
      <w:r w:rsidRPr="00AB3569">
        <w:rPr>
          <w:i/>
          <w:sz w:val="24"/>
          <w:szCs w:val="24"/>
          <w:lang w:val="en-US"/>
        </w:rPr>
        <w:t>Digital Rights Ireland</w:t>
      </w:r>
      <w:r w:rsidR="00E93FC1" w:rsidRPr="00AB3569">
        <w:rPr>
          <w:sz w:val="24"/>
          <w:szCs w:val="24"/>
          <w:lang w:val="en-US"/>
        </w:rPr>
        <w:t>,</w:t>
      </w:r>
      <w:r w:rsidR="00A04647" w:rsidRPr="00AB3569">
        <w:rPr>
          <w:rStyle w:val="FootnoteReference"/>
          <w:sz w:val="24"/>
          <w:szCs w:val="24"/>
          <w:lang w:val="en-US"/>
        </w:rPr>
        <w:footnoteReference w:id="2"/>
      </w:r>
      <w:r w:rsidRPr="00AB3569">
        <w:rPr>
          <w:sz w:val="24"/>
          <w:szCs w:val="24"/>
          <w:lang w:val="en-US"/>
        </w:rPr>
        <w:t xml:space="preserve"> </w:t>
      </w:r>
      <w:r w:rsidRPr="00AB3569">
        <w:rPr>
          <w:i/>
          <w:sz w:val="24"/>
          <w:szCs w:val="24"/>
          <w:lang w:val="en-US"/>
        </w:rPr>
        <w:t>Google Spain</w:t>
      </w:r>
      <w:r w:rsidR="00E93FC1" w:rsidRPr="00AB3569">
        <w:rPr>
          <w:sz w:val="24"/>
          <w:szCs w:val="24"/>
          <w:lang w:val="en-US"/>
        </w:rPr>
        <w:t>,</w:t>
      </w:r>
      <w:r w:rsidR="00A04647" w:rsidRPr="00AB3569">
        <w:rPr>
          <w:rStyle w:val="FootnoteReference"/>
          <w:sz w:val="24"/>
          <w:szCs w:val="24"/>
          <w:lang w:val="en-US"/>
        </w:rPr>
        <w:footnoteReference w:id="3"/>
      </w:r>
      <w:r w:rsidR="00D0388C" w:rsidRPr="00AB3569">
        <w:rPr>
          <w:sz w:val="24"/>
          <w:szCs w:val="24"/>
          <w:lang w:val="en-US"/>
        </w:rPr>
        <w:t xml:space="preserve"> </w:t>
      </w:r>
      <w:r w:rsidRPr="00AB3569">
        <w:rPr>
          <w:i/>
          <w:sz w:val="24"/>
          <w:szCs w:val="24"/>
          <w:lang w:val="en-US"/>
        </w:rPr>
        <w:t>Schrems</w:t>
      </w:r>
      <w:r w:rsidR="00E93FC1" w:rsidRPr="00AB3569">
        <w:rPr>
          <w:sz w:val="24"/>
          <w:szCs w:val="24"/>
          <w:lang w:val="en-US"/>
        </w:rPr>
        <w:t>,</w:t>
      </w:r>
      <w:r w:rsidR="00A04647" w:rsidRPr="00AB3569">
        <w:rPr>
          <w:rStyle w:val="FootnoteReference"/>
          <w:sz w:val="24"/>
          <w:szCs w:val="24"/>
          <w:lang w:val="en-US"/>
        </w:rPr>
        <w:footnoteReference w:id="4"/>
      </w:r>
      <w:r w:rsidRPr="00AB3569">
        <w:rPr>
          <w:sz w:val="24"/>
          <w:szCs w:val="24"/>
          <w:lang w:val="en-US"/>
        </w:rPr>
        <w:t xml:space="preserve"> and </w:t>
      </w:r>
      <w:r w:rsidRPr="00AB3569">
        <w:rPr>
          <w:i/>
          <w:sz w:val="24"/>
          <w:szCs w:val="24"/>
          <w:lang w:val="en-US"/>
        </w:rPr>
        <w:t>Tele2</w:t>
      </w:r>
      <w:r w:rsidR="00E93FC1" w:rsidRPr="00AB3569">
        <w:rPr>
          <w:sz w:val="24"/>
          <w:szCs w:val="24"/>
          <w:lang w:val="en-US"/>
        </w:rPr>
        <w:t>.</w:t>
      </w:r>
      <w:r w:rsidR="00A04647" w:rsidRPr="00AB3569">
        <w:rPr>
          <w:rStyle w:val="FootnoteReference"/>
          <w:sz w:val="24"/>
          <w:szCs w:val="24"/>
          <w:lang w:val="en-US"/>
        </w:rPr>
        <w:footnoteReference w:id="5"/>
      </w:r>
      <w:r w:rsidR="00732EA1" w:rsidRPr="00AB3569">
        <w:rPr>
          <w:sz w:val="24"/>
          <w:szCs w:val="24"/>
          <w:lang w:val="en-US"/>
        </w:rPr>
        <w:t xml:space="preserve"> </w:t>
      </w:r>
      <w:r w:rsidR="00E93FC1" w:rsidRPr="00AB3569">
        <w:rPr>
          <w:sz w:val="24"/>
          <w:szCs w:val="24"/>
          <w:lang w:val="en-US"/>
        </w:rPr>
        <w:t xml:space="preserve">Although </w:t>
      </w:r>
      <w:r w:rsidR="00D234E0" w:rsidRPr="00AB3569">
        <w:rPr>
          <w:sz w:val="24"/>
          <w:szCs w:val="24"/>
          <w:lang w:val="en-US"/>
        </w:rPr>
        <w:t>t</w:t>
      </w:r>
      <w:r w:rsidRPr="00AB3569">
        <w:rPr>
          <w:sz w:val="24"/>
          <w:szCs w:val="24"/>
          <w:lang w:val="en-US"/>
        </w:rPr>
        <w:t xml:space="preserve">he </w:t>
      </w:r>
      <w:r w:rsidR="006E621A" w:rsidRPr="00AB3569">
        <w:rPr>
          <w:i/>
          <w:noProof/>
          <w:sz w:val="24"/>
          <w:szCs w:val="24"/>
          <w:lang w:val="en-US"/>
        </w:rPr>
        <w:t>Puškár</w:t>
      </w:r>
      <w:r w:rsidRPr="00AB3569">
        <w:rPr>
          <w:sz w:val="24"/>
          <w:szCs w:val="24"/>
          <w:lang w:val="en-US"/>
        </w:rPr>
        <w:t xml:space="preserve"> c</w:t>
      </w:r>
      <w:r w:rsidR="00154B36" w:rsidRPr="00AB3569">
        <w:rPr>
          <w:sz w:val="24"/>
          <w:szCs w:val="24"/>
          <w:lang w:val="en-US"/>
        </w:rPr>
        <w:t>ase</w:t>
      </w:r>
      <w:r w:rsidR="00732EA1" w:rsidRPr="00AB3569">
        <w:rPr>
          <w:sz w:val="24"/>
          <w:szCs w:val="24"/>
          <w:lang w:val="en-US"/>
        </w:rPr>
        <w:t>, in contrast to the mentioned rulings,</w:t>
      </w:r>
      <w:r w:rsidR="00154B36" w:rsidRPr="00AB3569">
        <w:rPr>
          <w:sz w:val="24"/>
          <w:szCs w:val="24"/>
          <w:lang w:val="en-US"/>
        </w:rPr>
        <w:t xml:space="preserve"> has not caug</w:t>
      </w:r>
      <w:r w:rsidR="00E93FC1" w:rsidRPr="00AB3569">
        <w:rPr>
          <w:sz w:val="24"/>
          <w:szCs w:val="24"/>
          <w:lang w:val="en-US"/>
        </w:rPr>
        <w:t>h</w:t>
      </w:r>
      <w:r w:rsidR="00154B36" w:rsidRPr="00AB3569">
        <w:rPr>
          <w:sz w:val="24"/>
          <w:szCs w:val="24"/>
          <w:lang w:val="en-US"/>
        </w:rPr>
        <w:t>t the headlines</w:t>
      </w:r>
      <w:r w:rsidR="00732EA1" w:rsidRPr="00AB3569">
        <w:rPr>
          <w:sz w:val="24"/>
          <w:szCs w:val="24"/>
          <w:lang w:val="en-US"/>
        </w:rPr>
        <w:t>,</w:t>
      </w:r>
      <w:r w:rsidR="00154B36" w:rsidRPr="00AB3569">
        <w:rPr>
          <w:sz w:val="24"/>
          <w:szCs w:val="24"/>
          <w:lang w:val="en-US"/>
        </w:rPr>
        <w:t xml:space="preserve"> </w:t>
      </w:r>
      <w:r w:rsidR="00C239F6" w:rsidRPr="00AB3569">
        <w:rPr>
          <w:sz w:val="24"/>
          <w:szCs w:val="24"/>
          <w:lang w:val="en-US"/>
        </w:rPr>
        <w:t xml:space="preserve">it is still worth </w:t>
      </w:r>
      <w:r w:rsidR="00B17DD8" w:rsidRPr="00AB3569">
        <w:rPr>
          <w:sz w:val="24"/>
          <w:szCs w:val="24"/>
          <w:lang w:val="en-US"/>
        </w:rPr>
        <w:t>takin</w:t>
      </w:r>
      <w:r w:rsidR="00284FF6" w:rsidRPr="00AB3569">
        <w:rPr>
          <w:sz w:val="24"/>
          <w:szCs w:val="24"/>
          <w:lang w:val="en-US"/>
        </w:rPr>
        <w:t xml:space="preserve">g a closer look at </w:t>
      </w:r>
      <w:r w:rsidR="001A2709" w:rsidRPr="00AB3569">
        <w:rPr>
          <w:sz w:val="24"/>
          <w:szCs w:val="24"/>
          <w:lang w:val="en-US"/>
        </w:rPr>
        <w:t>the</w:t>
      </w:r>
      <w:r w:rsidR="00284FF6" w:rsidRPr="00AB3569">
        <w:rPr>
          <w:sz w:val="24"/>
          <w:szCs w:val="24"/>
          <w:lang w:val="en-US"/>
        </w:rPr>
        <w:t xml:space="preserve"> ruling</w:t>
      </w:r>
      <w:r w:rsidR="001A2709" w:rsidRPr="00AB3569">
        <w:rPr>
          <w:sz w:val="24"/>
          <w:szCs w:val="24"/>
          <w:lang w:val="en-US"/>
        </w:rPr>
        <w:t xml:space="preserve"> under review here</w:t>
      </w:r>
      <w:r w:rsidR="00284FF6" w:rsidRPr="00AB3569">
        <w:rPr>
          <w:sz w:val="24"/>
          <w:szCs w:val="24"/>
          <w:lang w:val="en-US"/>
        </w:rPr>
        <w:t xml:space="preserve">. </w:t>
      </w:r>
      <w:r w:rsidR="00811FE3" w:rsidRPr="00AB3569">
        <w:rPr>
          <w:sz w:val="24"/>
          <w:szCs w:val="24"/>
          <w:lang w:val="en-US"/>
        </w:rPr>
        <w:t xml:space="preserve">The Court addressed the matter of lawful processing of personal data. </w:t>
      </w:r>
      <w:r w:rsidR="001A2709" w:rsidRPr="00AB3569">
        <w:rPr>
          <w:sz w:val="24"/>
          <w:szCs w:val="24"/>
          <w:lang w:val="en-US"/>
        </w:rPr>
        <w:t xml:space="preserve">The significance of the ruling </w:t>
      </w:r>
      <w:r w:rsidR="00C2223B" w:rsidRPr="00AB3569">
        <w:rPr>
          <w:sz w:val="24"/>
          <w:szCs w:val="24"/>
          <w:lang w:val="en-US"/>
        </w:rPr>
        <w:t>lies</w:t>
      </w:r>
      <w:r w:rsidR="00811FE3" w:rsidRPr="00AB3569">
        <w:rPr>
          <w:sz w:val="24"/>
          <w:szCs w:val="24"/>
          <w:lang w:val="en-US"/>
        </w:rPr>
        <w:t>, however,</w:t>
      </w:r>
      <w:r w:rsidR="00C2223B" w:rsidRPr="00AB3569">
        <w:rPr>
          <w:sz w:val="24"/>
          <w:szCs w:val="24"/>
          <w:lang w:val="en-US"/>
        </w:rPr>
        <w:t xml:space="preserve"> not so much in its substantive aspects, but rather in what the Court says about effective judicial protection for individuals affected by a breach of </w:t>
      </w:r>
      <w:r w:rsidR="009A3CB6" w:rsidRPr="00AB3569">
        <w:rPr>
          <w:sz w:val="24"/>
          <w:szCs w:val="24"/>
          <w:lang w:val="en-US"/>
        </w:rPr>
        <w:t xml:space="preserve">EU </w:t>
      </w:r>
      <w:r w:rsidR="00C2223B" w:rsidRPr="00AB3569">
        <w:rPr>
          <w:sz w:val="24"/>
          <w:szCs w:val="24"/>
          <w:lang w:val="en-US"/>
        </w:rPr>
        <w:t>data protection law. Individuals enjoy a vast array of</w:t>
      </w:r>
      <w:r w:rsidR="005818A8" w:rsidRPr="00AB3569">
        <w:rPr>
          <w:sz w:val="24"/>
          <w:szCs w:val="24"/>
          <w:lang w:val="en-US"/>
        </w:rPr>
        <w:t xml:space="preserve"> data protection</w:t>
      </w:r>
      <w:r w:rsidR="00C2223B" w:rsidRPr="00AB3569">
        <w:rPr>
          <w:sz w:val="24"/>
          <w:szCs w:val="24"/>
          <w:lang w:val="en-US"/>
        </w:rPr>
        <w:t xml:space="preserve"> rights, such as a right of access to their personal data, a right to rec</w:t>
      </w:r>
      <w:r w:rsidR="000F21D5" w:rsidRPr="00AB3569">
        <w:rPr>
          <w:sz w:val="24"/>
          <w:szCs w:val="24"/>
          <w:lang w:val="en-US"/>
        </w:rPr>
        <w:t>t</w:t>
      </w:r>
      <w:r w:rsidR="00C2223B" w:rsidRPr="00AB3569">
        <w:rPr>
          <w:sz w:val="24"/>
          <w:szCs w:val="24"/>
          <w:lang w:val="en-US"/>
        </w:rPr>
        <w:t>ify inaccuracies and to have personal data erased, and a right to restrict processing of their personal data.</w:t>
      </w:r>
      <w:r w:rsidR="00C2223B" w:rsidRPr="00AB3569">
        <w:rPr>
          <w:rStyle w:val="FootnoteReference"/>
          <w:sz w:val="24"/>
          <w:szCs w:val="24"/>
          <w:lang w:val="en-US"/>
        </w:rPr>
        <w:footnoteReference w:id="6"/>
      </w:r>
      <w:r w:rsidR="00FE2F50" w:rsidRPr="00AB3569">
        <w:rPr>
          <w:sz w:val="24"/>
          <w:szCs w:val="24"/>
          <w:lang w:val="en-US"/>
        </w:rPr>
        <w:t xml:space="preserve"> These rights are </w:t>
      </w:r>
      <w:r w:rsidR="000F21D5" w:rsidRPr="00AB3569">
        <w:rPr>
          <w:sz w:val="24"/>
          <w:szCs w:val="24"/>
          <w:lang w:val="en-US"/>
        </w:rPr>
        <w:t xml:space="preserve">of </w:t>
      </w:r>
      <w:r w:rsidR="00FE2F50" w:rsidRPr="00AB3569">
        <w:rPr>
          <w:sz w:val="24"/>
          <w:szCs w:val="24"/>
          <w:lang w:val="en-US"/>
        </w:rPr>
        <w:t xml:space="preserve">little worth </w:t>
      </w:r>
      <w:r w:rsidR="000F21D5" w:rsidRPr="00AB3569">
        <w:rPr>
          <w:sz w:val="24"/>
          <w:szCs w:val="24"/>
          <w:lang w:val="en-US"/>
        </w:rPr>
        <w:t>without</w:t>
      </w:r>
      <w:r w:rsidR="00267C76" w:rsidRPr="00AB3569">
        <w:rPr>
          <w:sz w:val="24"/>
          <w:szCs w:val="24"/>
          <w:lang w:val="en-US"/>
        </w:rPr>
        <w:t xml:space="preserve"> adequate judicial mechanisms for their protection</w:t>
      </w:r>
      <w:r w:rsidR="00E27E82" w:rsidRPr="00AB3569">
        <w:rPr>
          <w:sz w:val="24"/>
          <w:szCs w:val="24"/>
          <w:lang w:val="en-US"/>
        </w:rPr>
        <w:t xml:space="preserve"> and observance</w:t>
      </w:r>
      <w:r w:rsidR="00267C76" w:rsidRPr="00AB3569">
        <w:rPr>
          <w:sz w:val="24"/>
          <w:szCs w:val="24"/>
          <w:lang w:val="en-US"/>
        </w:rPr>
        <w:t xml:space="preserve">. </w:t>
      </w:r>
      <w:r w:rsidR="00D4729F" w:rsidRPr="00AB3569">
        <w:rPr>
          <w:sz w:val="24"/>
          <w:szCs w:val="24"/>
          <w:lang w:val="en-US"/>
        </w:rPr>
        <w:t xml:space="preserve">In </w:t>
      </w:r>
      <w:r w:rsidR="006E621A" w:rsidRPr="00AB3569">
        <w:rPr>
          <w:i/>
          <w:noProof/>
          <w:sz w:val="24"/>
          <w:szCs w:val="24"/>
          <w:lang w:val="en-US"/>
        </w:rPr>
        <w:t>Puškár</w:t>
      </w:r>
      <w:r w:rsidR="00D4729F" w:rsidRPr="00AB3569">
        <w:rPr>
          <w:sz w:val="24"/>
          <w:szCs w:val="24"/>
          <w:lang w:val="en-US"/>
        </w:rPr>
        <w:t xml:space="preserve">, the Court </w:t>
      </w:r>
      <w:r w:rsidR="00F40014" w:rsidRPr="00AB3569">
        <w:rPr>
          <w:sz w:val="24"/>
          <w:szCs w:val="24"/>
          <w:lang w:val="en-US"/>
        </w:rPr>
        <w:t xml:space="preserve">was presented with an opportunity to clarify the </w:t>
      </w:r>
      <w:r w:rsidR="00D4729F" w:rsidRPr="00AB3569">
        <w:rPr>
          <w:sz w:val="24"/>
          <w:szCs w:val="24"/>
          <w:lang w:val="en-US"/>
        </w:rPr>
        <w:t xml:space="preserve">discretion left to the Member States in </w:t>
      </w:r>
      <w:r w:rsidR="002D4891" w:rsidRPr="00AB3569">
        <w:rPr>
          <w:sz w:val="24"/>
          <w:szCs w:val="24"/>
          <w:lang w:val="en-US"/>
        </w:rPr>
        <w:t xml:space="preserve">limiting access to court through procedural restrictions. </w:t>
      </w:r>
      <w:r w:rsidR="004254E5" w:rsidRPr="00AB3569">
        <w:rPr>
          <w:sz w:val="24"/>
          <w:szCs w:val="24"/>
          <w:lang w:val="en-US"/>
        </w:rPr>
        <w:t>As such, the case</w:t>
      </w:r>
      <w:r w:rsidR="00AD373D" w:rsidRPr="00AB3569">
        <w:rPr>
          <w:sz w:val="24"/>
          <w:szCs w:val="24"/>
          <w:lang w:val="en-US"/>
        </w:rPr>
        <w:t xml:space="preserve"> </w:t>
      </w:r>
      <w:r w:rsidR="00120177" w:rsidRPr="00AB3569">
        <w:rPr>
          <w:sz w:val="24"/>
          <w:szCs w:val="24"/>
          <w:lang w:val="en-US"/>
        </w:rPr>
        <w:t xml:space="preserve">adds to the string of cases </w:t>
      </w:r>
      <w:r w:rsidR="000F21D5" w:rsidRPr="00AB3569">
        <w:rPr>
          <w:sz w:val="24"/>
          <w:szCs w:val="24"/>
          <w:lang w:val="en-US"/>
        </w:rPr>
        <w:t xml:space="preserve">in which </w:t>
      </w:r>
      <w:r w:rsidR="002D4891" w:rsidRPr="00AB3569">
        <w:rPr>
          <w:sz w:val="24"/>
          <w:szCs w:val="24"/>
          <w:lang w:val="en-US"/>
        </w:rPr>
        <w:t xml:space="preserve">the Court expresses </w:t>
      </w:r>
      <w:r w:rsidR="001C4D49" w:rsidRPr="00AB3569">
        <w:rPr>
          <w:sz w:val="24"/>
          <w:szCs w:val="24"/>
          <w:lang w:val="en-US"/>
        </w:rPr>
        <w:t>its opinion</w:t>
      </w:r>
      <w:r w:rsidR="000F21D5" w:rsidRPr="00AB3569">
        <w:rPr>
          <w:sz w:val="24"/>
          <w:szCs w:val="24"/>
          <w:lang w:val="en-US"/>
        </w:rPr>
        <w:t xml:space="preserve"> </w:t>
      </w:r>
      <w:r w:rsidR="002D4891" w:rsidRPr="00AB3569">
        <w:rPr>
          <w:sz w:val="24"/>
          <w:szCs w:val="24"/>
          <w:lang w:val="en-US"/>
        </w:rPr>
        <w:t>on</w:t>
      </w:r>
      <w:r w:rsidR="00AD373D" w:rsidRPr="00AB3569">
        <w:rPr>
          <w:sz w:val="24"/>
          <w:szCs w:val="24"/>
          <w:lang w:val="en-US"/>
        </w:rPr>
        <w:t xml:space="preserve"> </w:t>
      </w:r>
      <w:r w:rsidR="00025617" w:rsidRPr="00AB3569">
        <w:rPr>
          <w:sz w:val="24"/>
          <w:szCs w:val="24"/>
          <w:lang w:val="en-US"/>
        </w:rPr>
        <w:t>the limits to national procedural and remedial autonomy</w:t>
      </w:r>
      <w:r w:rsidR="00AD373D" w:rsidRPr="00AB3569">
        <w:rPr>
          <w:sz w:val="24"/>
          <w:szCs w:val="24"/>
          <w:lang w:val="en-US"/>
        </w:rPr>
        <w:t>.</w:t>
      </w:r>
      <w:r w:rsidR="002D4891" w:rsidRPr="00AB3569">
        <w:rPr>
          <w:rStyle w:val="FootnoteReference"/>
          <w:sz w:val="24"/>
          <w:szCs w:val="24"/>
          <w:lang w:val="en-US"/>
        </w:rPr>
        <w:footnoteReference w:id="7"/>
      </w:r>
      <w:r w:rsidR="00025617" w:rsidRPr="00AB3569">
        <w:rPr>
          <w:sz w:val="24"/>
          <w:szCs w:val="24"/>
          <w:lang w:val="en-US"/>
        </w:rPr>
        <w:t xml:space="preserve"> </w:t>
      </w:r>
    </w:p>
    <w:p w14:paraId="79FBA5E0" w14:textId="656B7935" w:rsidR="00FE2F50" w:rsidRPr="00AB3569" w:rsidRDefault="00D4729F" w:rsidP="00EF333A">
      <w:pPr>
        <w:rPr>
          <w:sz w:val="24"/>
          <w:szCs w:val="24"/>
          <w:lang w:val="en-US"/>
        </w:rPr>
      </w:pPr>
      <w:r w:rsidRPr="00AB3569">
        <w:rPr>
          <w:sz w:val="24"/>
          <w:szCs w:val="24"/>
          <w:lang w:val="en-US"/>
        </w:rPr>
        <w:t>T</w:t>
      </w:r>
      <w:r w:rsidR="001B2957" w:rsidRPr="00AB3569">
        <w:rPr>
          <w:sz w:val="24"/>
          <w:szCs w:val="24"/>
          <w:lang w:val="en-US"/>
        </w:rPr>
        <w:t>he ECJ</w:t>
      </w:r>
      <w:r w:rsidR="00FE2F50" w:rsidRPr="00AB3569">
        <w:rPr>
          <w:sz w:val="24"/>
          <w:szCs w:val="24"/>
          <w:lang w:val="en-US"/>
        </w:rPr>
        <w:t xml:space="preserve"> </w:t>
      </w:r>
      <w:r w:rsidR="00731B58" w:rsidRPr="00AB3569">
        <w:rPr>
          <w:sz w:val="24"/>
          <w:szCs w:val="24"/>
          <w:lang w:val="en-US"/>
        </w:rPr>
        <w:t xml:space="preserve">was </w:t>
      </w:r>
      <w:r w:rsidR="00316CFF" w:rsidRPr="00AB3569">
        <w:rPr>
          <w:sz w:val="24"/>
          <w:szCs w:val="24"/>
          <w:lang w:val="en-US"/>
        </w:rPr>
        <w:t xml:space="preserve">confronted with </w:t>
      </w:r>
      <w:r w:rsidR="00646D6B" w:rsidRPr="00AB3569">
        <w:rPr>
          <w:sz w:val="24"/>
          <w:szCs w:val="24"/>
          <w:lang w:val="en-US"/>
        </w:rPr>
        <w:t xml:space="preserve">a </w:t>
      </w:r>
      <w:r w:rsidR="00B64858" w:rsidRPr="00AB3569">
        <w:rPr>
          <w:sz w:val="24"/>
          <w:szCs w:val="24"/>
          <w:lang w:val="en-US"/>
        </w:rPr>
        <w:t>domestic provision</w:t>
      </w:r>
      <w:r w:rsidR="00316CFF" w:rsidRPr="00AB3569">
        <w:rPr>
          <w:sz w:val="24"/>
          <w:szCs w:val="24"/>
          <w:lang w:val="en-US"/>
        </w:rPr>
        <w:t xml:space="preserve"> </w:t>
      </w:r>
      <w:r w:rsidR="00B64858" w:rsidRPr="00AB3569">
        <w:rPr>
          <w:sz w:val="24"/>
          <w:szCs w:val="24"/>
          <w:lang w:val="en-US"/>
        </w:rPr>
        <w:t>requ</w:t>
      </w:r>
      <w:r w:rsidR="00E1307D" w:rsidRPr="00AB3569">
        <w:rPr>
          <w:sz w:val="24"/>
          <w:szCs w:val="24"/>
          <w:lang w:val="en-US"/>
        </w:rPr>
        <w:t>i</w:t>
      </w:r>
      <w:r w:rsidR="00B64858" w:rsidRPr="00AB3569">
        <w:rPr>
          <w:sz w:val="24"/>
          <w:szCs w:val="24"/>
          <w:lang w:val="en-US"/>
        </w:rPr>
        <w:t>ring the claimant to exhaust available administrative remedies prior</w:t>
      </w:r>
      <w:r w:rsidR="00754EA8" w:rsidRPr="00AB3569">
        <w:rPr>
          <w:sz w:val="24"/>
          <w:szCs w:val="24"/>
          <w:lang w:val="en-US"/>
        </w:rPr>
        <w:t xml:space="preserve"> to instigating court procee</w:t>
      </w:r>
      <w:r w:rsidR="001B2957" w:rsidRPr="00AB3569">
        <w:rPr>
          <w:sz w:val="24"/>
          <w:szCs w:val="24"/>
          <w:lang w:val="en-US"/>
        </w:rPr>
        <w:t>d</w:t>
      </w:r>
      <w:r w:rsidR="00754EA8" w:rsidRPr="00AB3569">
        <w:rPr>
          <w:sz w:val="24"/>
          <w:szCs w:val="24"/>
          <w:lang w:val="en-US"/>
        </w:rPr>
        <w:t>ings</w:t>
      </w:r>
      <w:r w:rsidR="00B64858" w:rsidRPr="00AB3569">
        <w:rPr>
          <w:sz w:val="24"/>
          <w:szCs w:val="24"/>
          <w:lang w:val="en-US"/>
        </w:rPr>
        <w:t xml:space="preserve">, and a </w:t>
      </w:r>
      <w:r w:rsidR="00B1759C" w:rsidRPr="00AB3569">
        <w:rPr>
          <w:sz w:val="24"/>
          <w:szCs w:val="24"/>
          <w:lang w:val="en-US"/>
        </w:rPr>
        <w:t>restriction on</w:t>
      </w:r>
      <w:r w:rsidR="00B64858" w:rsidRPr="00AB3569">
        <w:rPr>
          <w:sz w:val="24"/>
          <w:szCs w:val="24"/>
          <w:lang w:val="en-US"/>
        </w:rPr>
        <w:t xml:space="preserve"> </w:t>
      </w:r>
      <w:r w:rsidR="00B64858" w:rsidRPr="00AB3569">
        <w:rPr>
          <w:sz w:val="24"/>
          <w:szCs w:val="24"/>
          <w:lang w:val="en-US"/>
        </w:rPr>
        <w:lastRenderedPageBreak/>
        <w:t xml:space="preserve">admissible evidence. </w:t>
      </w:r>
      <w:r w:rsidR="00731B58" w:rsidRPr="00AB3569">
        <w:rPr>
          <w:sz w:val="24"/>
          <w:szCs w:val="24"/>
          <w:lang w:val="en-US"/>
        </w:rPr>
        <w:t xml:space="preserve">The Court </w:t>
      </w:r>
      <w:r w:rsidR="00646D6B" w:rsidRPr="00AB3569">
        <w:rPr>
          <w:sz w:val="24"/>
          <w:szCs w:val="24"/>
          <w:lang w:val="en-US"/>
        </w:rPr>
        <w:t>was quick to not</w:t>
      </w:r>
      <w:r w:rsidR="00715774" w:rsidRPr="00AB3569">
        <w:rPr>
          <w:sz w:val="24"/>
          <w:szCs w:val="24"/>
          <w:lang w:val="en-US"/>
        </w:rPr>
        <w:t xml:space="preserve">e that these </w:t>
      </w:r>
      <w:r w:rsidR="00B1759C" w:rsidRPr="00AB3569">
        <w:rPr>
          <w:sz w:val="24"/>
          <w:szCs w:val="24"/>
          <w:lang w:val="en-US"/>
        </w:rPr>
        <w:t>measures</w:t>
      </w:r>
      <w:r w:rsidR="00715774" w:rsidRPr="00AB3569">
        <w:rPr>
          <w:sz w:val="24"/>
          <w:szCs w:val="24"/>
          <w:lang w:val="en-US"/>
        </w:rPr>
        <w:t xml:space="preserve"> cons</w:t>
      </w:r>
      <w:r w:rsidR="00E1307D" w:rsidRPr="00AB3569">
        <w:rPr>
          <w:sz w:val="24"/>
          <w:szCs w:val="24"/>
          <w:lang w:val="en-US"/>
        </w:rPr>
        <w:t>t</w:t>
      </w:r>
      <w:r w:rsidR="00715774" w:rsidRPr="00AB3569">
        <w:rPr>
          <w:sz w:val="24"/>
          <w:szCs w:val="24"/>
          <w:lang w:val="en-US"/>
        </w:rPr>
        <w:t>ituted</w:t>
      </w:r>
      <w:r w:rsidR="00646D6B" w:rsidRPr="00AB3569">
        <w:rPr>
          <w:sz w:val="24"/>
          <w:szCs w:val="24"/>
          <w:lang w:val="en-US"/>
        </w:rPr>
        <w:t xml:space="preserve"> </w:t>
      </w:r>
      <w:r w:rsidR="00715774" w:rsidRPr="00AB3569">
        <w:rPr>
          <w:sz w:val="24"/>
          <w:szCs w:val="24"/>
          <w:lang w:val="en-US"/>
        </w:rPr>
        <w:t>limitations on</w:t>
      </w:r>
      <w:r w:rsidR="00646D6B" w:rsidRPr="00AB3569">
        <w:rPr>
          <w:sz w:val="24"/>
          <w:szCs w:val="24"/>
          <w:lang w:val="en-US"/>
        </w:rPr>
        <w:t xml:space="preserve"> the right to effective </w:t>
      </w:r>
      <w:r w:rsidR="00FE2F50" w:rsidRPr="00AB3569">
        <w:rPr>
          <w:sz w:val="24"/>
          <w:szCs w:val="24"/>
          <w:lang w:val="en-US"/>
        </w:rPr>
        <w:t>judicial protection as laid down in Article 47 of the</w:t>
      </w:r>
      <w:r w:rsidR="009521B7" w:rsidRPr="00AB3569">
        <w:rPr>
          <w:sz w:val="24"/>
          <w:szCs w:val="24"/>
          <w:lang w:val="en-US"/>
        </w:rPr>
        <w:t xml:space="preserve"> Charter of fundamental rights.</w:t>
      </w:r>
      <w:r w:rsidR="00FA6922" w:rsidRPr="00AB3569">
        <w:rPr>
          <w:rStyle w:val="FootnoteReference"/>
          <w:sz w:val="24"/>
          <w:szCs w:val="24"/>
          <w:lang w:val="en-US"/>
        </w:rPr>
        <w:footnoteReference w:id="8"/>
      </w:r>
      <w:r w:rsidR="009521B7" w:rsidRPr="00AB3569">
        <w:rPr>
          <w:sz w:val="24"/>
          <w:szCs w:val="24"/>
          <w:lang w:val="en-US"/>
        </w:rPr>
        <w:t xml:space="preserve"> </w:t>
      </w:r>
      <w:r w:rsidR="00FE2F50" w:rsidRPr="00AB3569">
        <w:rPr>
          <w:sz w:val="24"/>
          <w:szCs w:val="24"/>
          <w:lang w:val="en-US"/>
        </w:rPr>
        <w:t>The right to e</w:t>
      </w:r>
      <w:r w:rsidR="004C06B4" w:rsidRPr="00AB3569">
        <w:rPr>
          <w:sz w:val="24"/>
          <w:szCs w:val="24"/>
          <w:lang w:val="en-US"/>
        </w:rPr>
        <w:t xml:space="preserve">ffective judicial protection is, however, not absolute. </w:t>
      </w:r>
      <w:r w:rsidR="00BD22EE" w:rsidRPr="00AB3569">
        <w:rPr>
          <w:sz w:val="24"/>
          <w:szCs w:val="24"/>
          <w:lang w:val="en-US"/>
        </w:rPr>
        <w:t>Article 52(1) of the Charter allow</w:t>
      </w:r>
      <w:r w:rsidR="00192F2D" w:rsidRPr="00AB3569">
        <w:rPr>
          <w:sz w:val="24"/>
          <w:szCs w:val="24"/>
          <w:lang w:val="en-US"/>
        </w:rPr>
        <w:t xml:space="preserve">s for limitations on the exercise of Charter rights </w:t>
      </w:r>
      <w:r w:rsidR="00BD22EE" w:rsidRPr="00AB3569">
        <w:rPr>
          <w:sz w:val="24"/>
          <w:szCs w:val="24"/>
          <w:lang w:val="en-US"/>
        </w:rPr>
        <w:t xml:space="preserve">insofar as they are prescribed by law, they respect the essence of the right and </w:t>
      </w:r>
      <w:r w:rsidR="007B3529" w:rsidRPr="00AB3569">
        <w:rPr>
          <w:sz w:val="24"/>
          <w:szCs w:val="24"/>
          <w:lang w:val="en-US"/>
        </w:rPr>
        <w:t xml:space="preserve">comply with the principle of proportionality. This means that limitations may be made only if they </w:t>
      </w:r>
      <w:r w:rsidR="00BD22EE" w:rsidRPr="00AB3569">
        <w:rPr>
          <w:sz w:val="24"/>
          <w:szCs w:val="24"/>
          <w:lang w:val="en-US"/>
        </w:rPr>
        <w:t>are necessary and genuinely meet objectives of general interest reco</w:t>
      </w:r>
      <w:r w:rsidR="00C84BFA" w:rsidRPr="00AB3569">
        <w:rPr>
          <w:sz w:val="24"/>
          <w:szCs w:val="24"/>
          <w:lang w:val="en-US"/>
        </w:rPr>
        <w:t>g</w:t>
      </w:r>
      <w:r w:rsidR="00BD22EE" w:rsidRPr="00AB3569">
        <w:rPr>
          <w:sz w:val="24"/>
          <w:szCs w:val="24"/>
          <w:lang w:val="en-US"/>
        </w:rPr>
        <w:t>ni</w:t>
      </w:r>
      <w:r w:rsidR="00C84BFA" w:rsidRPr="00AB3569">
        <w:rPr>
          <w:sz w:val="24"/>
          <w:szCs w:val="24"/>
          <w:lang w:val="en-US"/>
        </w:rPr>
        <w:t>z</w:t>
      </w:r>
      <w:r w:rsidR="00BD22EE" w:rsidRPr="00AB3569">
        <w:rPr>
          <w:sz w:val="24"/>
          <w:szCs w:val="24"/>
          <w:lang w:val="en-US"/>
        </w:rPr>
        <w:t>ed by the EU</w:t>
      </w:r>
      <w:r w:rsidR="007B3529" w:rsidRPr="00AB3569">
        <w:rPr>
          <w:sz w:val="24"/>
          <w:szCs w:val="24"/>
          <w:lang w:val="en-US"/>
        </w:rPr>
        <w:t xml:space="preserve"> or the need to protect the rights and freedoms of others</w:t>
      </w:r>
      <w:r w:rsidR="00BD22EE" w:rsidRPr="00AB3569">
        <w:rPr>
          <w:sz w:val="24"/>
          <w:szCs w:val="24"/>
          <w:lang w:val="en-US"/>
        </w:rPr>
        <w:t xml:space="preserve">. </w:t>
      </w:r>
      <w:r w:rsidR="00BD59D8" w:rsidRPr="00AB3569">
        <w:rPr>
          <w:sz w:val="24"/>
          <w:szCs w:val="24"/>
          <w:lang w:val="en-US"/>
        </w:rPr>
        <w:t>T</w:t>
      </w:r>
      <w:r w:rsidR="00DF771C" w:rsidRPr="00AB3569">
        <w:rPr>
          <w:sz w:val="24"/>
          <w:szCs w:val="24"/>
          <w:lang w:val="en-US"/>
        </w:rPr>
        <w:t xml:space="preserve">he </w:t>
      </w:r>
      <w:r w:rsidR="004C06B4" w:rsidRPr="00AB3569">
        <w:rPr>
          <w:sz w:val="24"/>
          <w:szCs w:val="24"/>
          <w:lang w:val="en-US"/>
        </w:rPr>
        <w:t xml:space="preserve">Court scrutinized </w:t>
      </w:r>
      <w:r w:rsidR="009521B7" w:rsidRPr="00AB3569">
        <w:rPr>
          <w:sz w:val="24"/>
          <w:szCs w:val="24"/>
          <w:lang w:val="en-US"/>
        </w:rPr>
        <w:t xml:space="preserve">the </w:t>
      </w:r>
      <w:r w:rsidR="004C06B4" w:rsidRPr="00AB3569">
        <w:rPr>
          <w:sz w:val="24"/>
          <w:szCs w:val="24"/>
          <w:lang w:val="en-US"/>
        </w:rPr>
        <w:t>national</w:t>
      </w:r>
      <w:r w:rsidR="00192F2D" w:rsidRPr="00AB3569">
        <w:rPr>
          <w:sz w:val="24"/>
          <w:szCs w:val="24"/>
          <w:lang w:val="en-US"/>
        </w:rPr>
        <w:t xml:space="preserve"> </w:t>
      </w:r>
      <w:r w:rsidR="009521B7" w:rsidRPr="00AB3569">
        <w:rPr>
          <w:sz w:val="24"/>
          <w:szCs w:val="24"/>
          <w:lang w:val="en-US"/>
        </w:rPr>
        <w:t>rules</w:t>
      </w:r>
      <w:r w:rsidR="00192F2D" w:rsidRPr="00AB3569">
        <w:rPr>
          <w:sz w:val="24"/>
          <w:szCs w:val="24"/>
          <w:lang w:val="en-US"/>
        </w:rPr>
        <w:t xml:space="preserve"> </w:t>
      </w:r>
      <w:r w:rsidR="00BD59D8" w:rsidRPr="00AB3569">
        <w:rPr>
          <w:sz w:val="24"/>
          <w:szCs w:val="24"/>
          <w:lang w:val="en-US"/>
        </w:rPr>
        <w:t xml:space="preserve">in question </w:t>
      </w:r>
      <w:r w:rsidR="004C06B4" w:rsidRPr="00AB3569">
        <w:rPr>
          <w:sz w:val="24"/>
          <w:szCs w:val="24"/>
          <w:lang w:val="en-US"/>
        </w:rPr>
        <w:t>against the conditions laid down in Article 52(1), thereby pr</w:t>
      </w:r>
      <w:r w:rsidR="00DB6462" w:rsidRPr="00AB3569">
        <w:rPr>
          <w:sz w:val="24"/>
          <w:szCs w:val="24"/>
          <w:lang w:val="en-US"/>
        </w:rPr>
        <w:t xml:space="preserve">oviding </w:t>
      </w:r>
      <w:r w:rsidR="00192F2D" w:rsidRPr="00AB3569">
        <w:rPr>
          <w:sz w:val="24"/>
          <w:szCs w:val="24"/>
          <w:lang w:val="en-US"/>
        </w:rPr>
        <w:t xml:space="preserve">valuable guidance as to </w:t>
      </w:r>
      <w:r w:rsidR="009521B7" w:rsidRPr="00AB3569">
        <w:rPr>
          <w:sz w:val="24"/>
          <w:szCs w:val="24"/>
          <w:lang w:val="en-US"/>
        </w:rPr>
        <w:t xml:space="preserve">when national procedural rules which limit access to a remedy are acceptable. </w:t>
      </w:r>
      <w:r w:rsidR="004C06B4" w:rsidRPr="00AB3569">
        <w:rPr>
          <w:sz w:val="24"/>
          <w:szCs w:val="24"/>
          <w:lang w:val="en-US"/>
        </w:rPr>
        <w:t xml:space="preserve">In particular, the Court provided guidance as to </w:t>
      </w:r>
      <w:r w:rsidR="00192F2D" w:rsidRPr="00AB3569">
        <w:rPr>
          <w:sz w:val="24"/>
          <w:szCs w:val="24"/>
          <w:lang w:val="en-US"/>
        </w:rPr>
        <w:t>the type of</w:t>
      </w:r>
      <w:r w:rsidR="004C06B4" w:rsidRPr="00AB3569">
        <w:rPr>
          <w:sz w:val="24"/>
          <w:szCs w:val="24"/>
          <w:lang w:val="en-US"/>
        </w:rPr>
        <w:t xml:space="preserve"> measure </w:t>
      </w:r>
      <w:r w:rsidR="00C84BFA" w:rsidRPr="00AB3569">
        <w:rPr>
          <w:sz w:val="24"/>
          <w:szCs w:val="24"/>
          <w:lang w:val="en-US"/>
        </w:rPr>
        <w:t xml:space="preserve">that </w:t>
      </w:r>
      <w:r w:rsidR="00192F2D" w:rsidRPr="00AB3569">
        <w:rPr>
          <w:sz w:val="24"/>
          <w:szCs w:val="24"/>
          <w:lang w:val="en-US"/>
        </w:rPr>
        <w:t xml:space="preserve">could </w:t>
      </w:r>
      <w:r w:rsidR="004C06B4" w:rsidRPr="00AB3569">
        <w:rPr>
          <w:sz w:val="24"/>
          <w:szCs w:val="24"/>
          <w:lang w:val="en-US"/>
        </w:rPr>
        <w:t>impair the “essence” of the right to effective judicial protection.</w:t>
      </w:r>
    </w:p>
    <w:p w14:paraId="46177397" w14:textId="63DDCD11" w:rsidR="006248FB" w:rsidRPr="00AB3569" w:rsidRDefault="00192F2D" w:rsidP="00090660">
      <w:pPr>
        <w:rPr>
          <w:sz w:val="24"/>
          <w:szCs w:val="24"/>
          <w:lang w:val="en-US"/>
        </w:rPr>
      </w:pPr>
      <w:r w:rsidRPr="00AB3569">
        <w:rPr>
          <w:sz w:val="24"/>
          <w:szCs w:val="24"/>
          <w:lang w:val="en-US"/>
        </w:rPr>
        <w:t xml:space="preserve">The </w:t>
      </w:r>
      <w:r w:rsidR="009521B7" w:rsidRPr="00AB3569">
        <w:rPr>
          <w:sz w:val="24"/>
          <w:szCs w:val="24"/>
          <w:lang w:val="en-US"/>
        </w:rPr>
        <w:t>ruling was</w:t>
      </w:r>
      <w:r w:rsidR="004C0934" w:rsidRPr="00AB3569">
        <w:rPr>
          <w:sz w:val="24"/>
          <w:szCs w:val="24"/>
          <w:lang w:val="en-US"/>
        </w:rPr>
        <w:t xml:space="preserve"> rendered pursuant to the Data Protection Directive, </w:t>
      </w:r>
      <w:r w:rsidR="00E6037B" w:rsidRPr="00AB3569">
        <w:rPr>
          <w:sz w:val="24"/>
          <w:szCs w:val="24"/>
          <w:lang w:val="en-US"/>
        </w:rPr>
        <w:t>but</w:t>
      </w:r>
      <w:r w:rsidR="004C0934" w:rsidRPr="00AB3569">
        <w:rPr>
          <w:sz w:val="24"/>
          <w:szCs w:val="24"/>
          <w:lang w:val="en-US"/>
        </w:rPr>
        <w:t xml:space="preserve"> the reasoning of the Court is </w:t>
      </w:r>
      <w:r w:rsidR="00E6037B" w:rsidRPr="00AB3569">
        <w:rPr>
          <w:sz w:val="24"/>
          <w:szCs w:val="24"/>
          <w:lang w:val="en-US"/>
        </w:rPr>
        <w:t xml:space="preserve">equally </w:t>
      </w:r>
      <w:r w:rsidR="004C0934" w:rsidRPr="00AB3569">
        <w:rPr>
          <w:sz w:val="24"/>
          <w:szCs w:val="24"/>
          <w:lang w:val="en-US"/>
        </w:rPr>
        <w:t xml:space="preserve">relevant under the new legal framework. </w:t>
      </w:r>
      <w:r w:rsidR="0068424D" w:rsidRPr="00AB3569">
        <w:rPr>
          <w:sz w:val="24"/>
          <w:szCs w:val="24"/>
          <w:lang w:val="en-US"/>
        </w:rPr>
        <w:t xml:space="preserve">The substantive aspects </w:t>
      </w:r>
      <w:r w:rsidR="005F3BC7" w:rsidRPr="00AB3569">
        <w:rPr>
          <w:sz w:val="24"/>
          <w:szCs w:val="24"/>
          <w:lang w:val="en-US"/>
        </w:rPr>
        <w:t>of the ruling</w:t>
      </w:r>
      <w:r w:rsidR="0068424D" w:rsidRPr="00AB3569">
        <w:rPr>
          <w:sz w:val="24"/>
          <w:szCs w:val="24"/>
          <w:lang w:val="en-US"/>
        </w:rPr>
        <w:t xml:space="preserve">, pertaining </w:t>
      </w:r>
      <w:r w:rsidR="00963FBE" w:rsidRPr="00AB3569">
        <w:rPr>
          <w:sz w:val="24"/>
          <w:szCs w:val="24"/>
          <w:lang w:val="en-US"/>
        </w:rPr>
        <w:t>to the</w:t>
      </w:r>
      <w:r w:rsidR="0068424D" w:rsidRPr="00AB3569">
        <w:rPr>
          <w:sz w:val="24"/>
          <w:szCs w:val="24"/>
          <w:lang w:val="en-US"/>
        </w:rPr>
        <w:t xml:space="preserve"> </w:t>
      </w:r>
      <w:r w:rsidR="005F3BC7" w:rsidRPr="00AB3569">
        <w:rPr>
          <w:sz w:val="24"/>
          <w:szCs w:val="24"/>
          <w:lang w:val="en-US"/>
        </w:rPr>
        <w:t xml:space="preserve">lawful </w:t>
      </w:r>
      <w:r w:rsidR="0068424D" w:rsidRPr="00AB3569">
        <w:rPr>
          <w:sz w:val="24"/>
          <w:szCs w:val="24"/>
          <w:lang w:val="en-US"/>
        </w:rPr>
        <w:t>grounds for processing personal data and the principles relating to such processing</w:t>
      </w:r>
      <w:r w:rsidR="00963FBE" w:rsidRPr="00AB3569">
        <w:rPr>
          <w:sz w:val="24"/>
          <w:szCs w:val="24"/>
          <w:lang w:val="en-US"/>
        </w:rPr>
        <w:t>,</w:t>
      </w:r>
      <w:r w:rsidR="0068424D" w:rsidRPr="00AB3569">
        <w:rPr>
          <w:sz w:val="24"/>
          <w:szCs w:val="24"/>
          <w:lang w:val="en-US"/>
        </w:rPr>
        <w:t xml:space="preserve"> is transferable to the </w:t>
      </w:r>
      <w:r w:rsidR="00E54AF6" w:rsidRPr="00AB3569">
        <w:rPr>
          <w:sz w:val="24"/>
          <w:szCs w:val="24"/>
          <w:lang w:val="en-US"/>
        </w:rPr>
        <w:t xml:space="preserve">application of the </w:t>
      </w:r>
      <w:r w:rsidR="0068424D" w:rsidRPr="00AB3569">
        <w:rPr>
          <w:sz w:val="24"/>
          <w:szCs w:val="24"/>
          <w:lang w:val="en-US"/>
        </w:rPr>
        <w:t xml:space="preserve">GDPR, since the </w:t>
      </w:r>
      <w:r w:rsidR="00963FBE" w:rsidRPr="00AB3569">
        <w:rPr>
          <w:sz w:val="24"/>
          <w:szCs w:val="24"/>
          <w:lang w:val="en-US"/>
        </w:rPr>
        <w:t xml:space="preserve">Directive </w:t>
      </w:r>
      <w:r w:rsidR="0068424D" w:rsidRPr="00AB3569">
        <w:rPr>
          <w:sz w:val="24"/>
          <w:szCs w:val="24"/>
          <w:lang w:val="en-US"/>
        </w:rPr>
        <w:t xml:space="preserve">provisions </w:t>
      </w:r>
      <w:r w:rsidR="00963FBE" w:rsidRPr="00AB3569">
        <w:rPr>
          <w:sz w:val="24"/>
          <w:szCs w:val="24"/>
          <w:lang w:val="en-US"/>
        </w:rPr>
        <w:t>on data processing remain in place under the Regulation.</w:t>
      </w:r>
      <w:r w:rsidR="00963FBE" w:rsidRPr="00AB3569">
        <w:rPr>
          <w:rStyle w:val="FootnoteReference"/>
          <w:sz w:val="24"/>
          <w:szCs w:val="24"/>
          <w:lang w:val="en-US"/>
        </w:rPr>
        <w:footnoteReference w:id="9"/>
      </w:r>
      <w:r w:rsidR="00963FBE" w:rsidRPr="00AB3569">
        <w:rPr>
          <w:sz w:val="24"/>
          <w:szCs w:val="24"/>
          <w:lang w:val="en-US"/>
        </w:rPr>
        <w:t xml:space="preserve"> </w:t>
      </w:r>
      <w:r w:rsidR="00294C68" w:rsidRPr="00AB3569">
        <w:rPr>
          <w:sz w:val="24"/>
          <w:szCs w:val="24"/>
          <w:lang w:val="en-US"/>
        </w:rPr>
        <w:t>T</w:t>
      </w:r>
      <w:r w:rsidR="00963FBE" w:rsidRPr="00AB3569">
        <w:rPr>
          <w:sz w:val="24"/>
          <w:szCs w:val="24"/>
          <w:lang w:val="en-US"/>
        </w:rPr>
        <w:t>he Directive provision on effective judicial protection</w:t>
      </w:r>
      <w:r w:rsidR="00F36653" w:rsidRPr="00AB3569">
        <w:rPr>
          <w:sz w:val="24"/>
          <w:szCs w:val="24"/>
          <w:lang w:val="en-US"/>
        </w:rPr>
        <w:t>, which is the focus of this annotation,</w:t>
      </w:r>
      <w:r w:rsidR="00963FBE" w:rsidRPr="00AB3569">
        <w:rPr>
          <w:sz w:val="24"/>
          <w:szCs w:val="24"/>
          <w:lang w:val="en-US"/>
        </w:rPr>
        <w:t xml:space="preserve"> is </w:t>
      </w:r>
      <w:r w:rsidR="00294C68" w:rsidRPr="00AB3569">
        <w:rPr>
          <w:sz w:val="24"/>
          <w:szCs w:val="24"/>
          <w:lang w:val="en-US"/>
        </w:rPr>
        <w:t xml:space="preserve">also </w:t>
      </w:r>
      <w:r w:rsidR="00963FBE" w:rsidRPr="00AB3569">
        <w:rPr>
          <w:sz w:val="24"/>
          <w:szCs w:val="24"/>
          <w:lang w:val="en-US"/>
        </w:rPr>
        <w:t>broadly replicated under the Regulation.</w:t>
      </w:r>
      <w:r w:rsidR="00963FBE" w:rsidRPr="00AB3569">
        <w:rPr>
          <w:rStyle w:val="FootnoteReference"/>
          <w:sz w:val="24"/>
          <w:szCs w:val="24"/>
          <w:lang w:val="en-US"/>
        </w:rPr>
        <w:footnoteReference w:id="10"/>
      </w:r>
      <w:r w:rsidR="00AA715C" w:rsidRPr="00AB3569">
        <w:rPr>
          <w:sz w:val="24"/>
          <w:szCs w:val="24"/>
          <w:lang w:val="en-US"/>
        </w:rPr>
        <w:t xml:space="preserve"> </w:t>
      </w:r>
      <w:r w:rsidR="009D1CC8" w:rsidRPr="00AB3569">
        <w:rPr>
          <w:sz w:val="24"/>
          <w:szCs w:val="24"/>
          <w:lang w:val="en-US"/>
        </w:rPr>
        <w:t>Article 79 GDPR prescribes the right to an “effective judicial remedy</w:t>
      </w:r>
      <w:r w:rsidR="00A87621" w:rsidRPr="00AB3569">
        <w:rPr>
          <w:sz w:val="24"/>
          <w:szCs w:val="24"/>
          <w:lang w:val="en-US"/>
        </w:rPr>
        <w:t>,</w:t>
      </w:r>
      <w:r w:rsidR="009D1CC8" w:rsidRPr="00AB3569">
        <w:rPr>
          <w:sz w:val="24"/>
          <w:szCs w:val="24"/>
          <w:lang w:val="en-US"/>
        </w:rPr>
        <w:t xml:space="preserve">” and this provision must be read </w:t>
      </w:r>
      <w:r w:rsidR="00E6037B" w:rsidRPr="00AB3569">
        <w:rPr>
          <w:sz w:val="24"/>
          <w:szCs w:val="24"/>
          <w:lang w:val="en-US"/>
        </w:rPr>
        <w:t xml:space="preserve">in light of </w:t>
      </w:r>
      <w:r w:rsidR="009D1CC8" w:rsidRPr="00AB3569">
        <w:rPr>
          <w:sz w:val="24"/>
          <w:szCs w:val="24"/>
          <w:lang w:val="en-US"/>
        </w:rPr>
        <w:t xml:space="preserve">Article 47 of </w:t>
      </w:r>
      <w:r w:rsidR="00E6037B" w:rsidRPr="00AB3569">
        <w:rPr>
          <w:sz w:val="24"/>
          <w:szCs w:val="24"/>
          <w:lang w:val="en-US"/>
        </w:rPr>
        <w:t xml:space="preserve">the </w:t>
      </w:r>
      <w:r w:rsidR="00506723" w:rsidRPr="00AB3569">
        <w:rPr>
          <w:sz w:val="24"/>
          <w:szCs w:val="24"/>
          <w:lang w:val="en-US"/>
        </w:rPr>
        <w:t>Charter of Fundamental Rights</w:t>
      </w:r>
      <w:r w:rsidR="009D1CC8" w:rsidRPr="00AB3569">
        <w:rPr>
          <w:sz w:val="24"/>
          <w:szCs w:val="24"/>
          <w:lang w:val="en-US"/>
        </w:rPr>
        <w:t xml:space="preserve"> </w:t>
      </w:r>
      <w:r w:rsidR="00506723" w:rsidRPr="00AB3569">
        <w:rPr>
          <w:sz w:val="24"/>
          <w:szCs w:val="24"/>
          <w:lang w:val="en-US"/>
        </w:rPr>
        <w:t>on</w:t>
      </w:r>
      <w:r w:rsidR="00C4508E" w:rsidRPr="00AB3569">
        <w:rPr>
          <w:sz w:val="24"/>
          <w:szCs w:val="24"/>
          <w:lang w:val="en-US"/>
        </w:rPr>
        <w:t xml:space="preserve"> effective judicial protection.</w:t>
      </w:r>
      <w:r w:rsidR="00C4508E" w:rsidRPr="00AB3569">
        <w:rPr>
          <w:rStyle w:val="FootnoteReference"/>
          <w:sz w:val="24"/>
          <w:szCs w:val="24"/>
          <w:lang w:val="en-US"/>
        </w:rPr>
        <w:footnoteReference w:id="11"/>
      </w:r>
      <w:r w:rsidR="00C4508E" w:rsidRPr="00AB3569">
        <w:rPr>
          <w:sz w:val="24"/>
          <w:szCs w:val="24"/>
          <w:lang w:val="en-US"/>
        </w:rPr>
        <w:t xml:space="preserve"> </w:t>
      </w:r>
      <w:r w:rsidR="00447BCF" w:rsidRPr="00AB3569">
        <w:rPr>
          <w:sz w:val="24"/>
          <w:szCs w:val="24"/>
          <w:lang w:val="en-US"/>
        </w:rPr>
        <w:t xml:space="preserve">It should be recalled that Article 47 safeguards the right to effective judicial protection for individuals against the violation of all EU rights and freedoms. </w:t>
      </w:r>
      <w:r w:rsidR="000C7072" w:rsidRPr="00AB3569">
        <w:rPr>
          <w:sz w:val="24"/>
          <w:szCs w:val="24"/>
          <w:lang w:val="en-US"/>
        </w:rPr>
        <w:t>The procedural issues addressed in this ruling are of a cross-sectoral nature, and t</w:t>
      </w:r>
      <w:r w:rsidR="00506723" w:rsidRPr="00AB3569">
        <w:rPr>
          <w:sz w:val="24"/>
          <w:szCs w:val="24"/>
          <w:lang w:val="en-US"/>
        </w:rPr>
        <w:t>he parts of the Court’s ruling that pertain to Article 47 and 52(1) of the Charter are formulated in a</w:t>
      </w:r>
      <w:r w:rsidR="000C7072" w:rsidRPr="00AB3569">
        <w:rPr>
          <w:sz w:val="24"/>
          <w:szCs w:val="24"/>
          <w:lang w:val="en-US"/>
        </w:rPr>
        <w:t xml:space="preserve"> manner apt for generali</w:t>
      </w:r>
      <w:r w:rsidR="00B40DA4" w:rsidRPr="00AB3569">
        <w:rPr>
          <w:sz w:val="24"/>
          <w:szCs w:val="24"/>
          <w:lang w:val="en-US"/>
        </w:rPr>
        <w:t>z</w:t>
      </w:r>
      <w:r w:rsidR="000C7072" w:rsidRPr="00AB3569">
        <w:rPr>
          <w:sz w:val="24"/>
          <w:szCs w:val="24"/>
          <w:lang w:val="en-US"/>
        </w:rPr>
        <w:t>ation. This</w:t>
      </w:r>
      <w:r w:rsidR="00316CFF" w:rsidRPr="00AB3569">
        <w:rPr>
          <w:sz w:val="24"/>
          <w:szCs w:val="24"/>
          <w:lang w:val="en-US"/>
        </w:rPr>
        <w:t xml:space="preserve"> means that the</w:t>
      </w:r>
      <w:r w:rsidR="00506723" w:rsidRPr="00AB3569">
        <w:rPr>
          <w:sz w:val="24"/>
          <w:szCs w:val="24"/>
          <w:lang w:val="en-US"/>
        </w:rPr>
        <w:t xml:space="preserve"> ruling may have ramifications </w:t>
      </w:r>
      <w:r w:rsidR="001A2709" w:rsidRPr="00AB3569">
        <w:rPr>
          <w:sz w:val="24"/>
          <w:szCs w:val="24"/>
          <w:lang w:val="en-US"/>
        </w:rPr>
        <w:t xml:space="preserve">well </w:t>
      </w:r>
      <w:r w:rsidR="00506723" w:rsidRPr="00AB3569">
        <w:rPr>
          <w:sz w:val="24"/>
          <w:szCs w:val="24"/>
          <w:lang w:val="en-US"/>
        </w:rPr>
        <w:t>beyond th</w:t>
      </w:r>
      <w:r w:rsidR="0019605C" w:rsidRPr="00AB3569">
        <w:rPr>
          <w:sz w:val="24"/>
          <w:szCs w:val="24"/>
          <w:lang w:val="en-US"/>
        </w:rPr>
        <w:t>e field of data protection law.</w:t>
      </w:r>
    </w:p>
    <w:p w14:paraId="0CBA5362" w14:textId="77777777" w:rsidR="00601851" w:rsidRPr="00AB3569" w:rsidRDefault="00601851" w:rsidP="00090660">
      <w:pPr>
        <w:rPr>
          <w:sz w:val="24"/>
          <w:szCs w:val="24"/>
          <w:lang w:val="en-US"/>
        </w:rPr>
      </w:pPr>
    </w:p>
    <w:p w14:paraId="631D7CD0" w14:textId="77777777" w:rsidR="00D10E55" w:rsidRPr="00AB3569" w:rsidRDefault="00D10E55" w:rsidP="00196519">
      <w:pPr>
        <w:pStyle w:val="ListParagraph"/>
        <w:numPr>
          <w:ilvl w:val="0"/>
          <w:numId w:val="1"/>
        </w:numPr>
        <w:rPr>
          <w:b/>
          <w:sz w:val="24"/>
          <w:szCs w:val="24"/>
          <w:lang w:val="en-US"/>
        </w:rPr>
      </w:pPr>
      <w:r w:rsidRPr="00AB3569">
        <w:rPr>
          <w:b/>
          <w:sz w:val="24"/>
          <w:szCs w:val="24"/>
          <w:lang w:val="en-US"/>
        </w:rPr>
        <w:t xml:space="preserve">Factual background </w:t>
      </w:r>
    </w:p>
    <w:p w14:paraId="7D4A29D3" w14:textId="5E2D07F8" w:rsidR="00D10E55" w:rsidRPr="00AB3569" w:rsidRDefault="00D10E55" w:rsidP="00D10E55">
      <w:pPr>
        <w:rPr>
          <w:sz w:val="24"/>
          <w:szCs w:val="24"/>
          <w:lang w:val="en-US"/>
        </w:rPr>
      </w:pPr>
      <w:r w:rsidRPr="00AB3569">
        <w:rPr>
          <w:sz w:val="24"/>
          <w:szCs w:val="24"/>
          <w:lang w:val="en-US"/>
        </w:rPr>
        <w:t>The annotated cas</w:t>
      </w:r>
      <w:r w:rsidR="00B31C16" w:rsidRPr="00AB3569">
        <w:rPr>
          <w:sz w:val="24"/>
          <w:szCs w:val="24"/>
          <w:lang w:val="en-US"/>
        </w:rPr>
        <w:t>e originates from a request for</w:t>
      </w:r>
      <w:r w:rsidRPr="00AB3569">
        <w:rPr>
          <w:sz w:val="24"/>
          <w:szCs w:val="24"/>
          <w:lang w:val="en-US"/>
        </w:rPr>
        <w:t xml:space="preserve"> a preliminary ruling under Article 267 TFEU from the Slovak Supreme Court in the course of proceedings between Mr</w:t>
      </w:r>
      <w:r w:rsidR="00B40DA4" w:rsidRPr="00AB3569">
        <w:rPr>
          <w:sz w:val="24"/>
          <w:szCs w:val="24"/>
          <w:lang w:val="en-US"/>
        </w:rPr>
        <w:t>.</w:t>
      </w:r>
      <w:r w:rsidRPr="00AB3569">
        <w:rPr>
          <w:sz w:val="24"/>
          <w:szCs w:val="24"/>
          <w:lang w:val="en-US"/>
        </w:rPr>
        <w:t xml:space="preserve"> </w:t>
      </w:r>
      <w:r w:rsidR="006E621A" w:rsidRPr="00AB3569">
        <w:rPr>
          <w:noProof/>
          <w:sz w:val="24"/>
          <w:szCs w:val="24"/>
          <w:lang w:val="en-US"/>
        </w:rPr>
        <w:t>Puškár</w:t>
      </w:r>
      <w:r w:rsidR="005E787D" w:rsidRPr="00AB3569">
        <w:rPr>
          <w:sz w:val="24"/>
          <w:szCs w:val="24"/>
          <w:lang w:val="en-US"/>
        </w:rPr>
        <w:t xml:space="preserve"> and Slovak tax authorities</w:t>
      </w:r>
      <w:r w:rsidRPr="00AB3569">
        <w:rPr>
          <w:sz w:val="24"/>
          <w:szCs w:val="24"/>
          <w:lang w:val="en-US"/>
        </w:rPr>
        <w:t xml:space="preserve">. The tax authorities had drawn up a blacklist of persons purporting to act as ‘fronts’ in company director roles. The list was created for the purpose of collecting taxes and combating fraud, and contained </w:t>
      </w:r>
      <w:r w:rsidR="00FC6C0F" w:rsidRPr="00AB3569">
        <w:rPr>
          <w:sz w:val="24"/>
          <w:szCs w:val="24"/>
          <w:lang w:val="en-US"/>
        </w:rPr>
        <w:t xml:space="preserve">the persons’ </w:t>
      </w:r>
      <w:r w:rsidR="00611680" w:rsidRPr="00AB3569">
        <w:rPr>
          <w:sz w:val="24"/>
          <w:szCs w:val="24"/>
          <w:lang w:val="en-US"/>
        </w:rPr>
        <w:t xml:space="preserve">names and </w:t>
      </w:r>
      <w:r w:rsidRPr="00AB3569">
        <w:rPr>
          <w:sz w:val="24"/>
          <w:szCs w:val="24"/>
          <w:lang w:val="en-US"/>
        </w:rPr>
        <w:t>national identif</w:t>
      </w:r>
      <w:r w:rsidR="00B40DA4" w:rsidRPr="00AB3569">
        <w:rPr>
          <w:sz w:val="24"/>
          <w:szCs w:val="24"/>
          <w:lang w:val="en-US"/>
        </w:rPr>
        <w:t>i</w:t>
      </w:r>
      <w:r w:rsidRPr="00AB3569">
        <w:rPr>
          <w:sz w:val="24"/>
          <w:szCs w:val="24"/>
          <w:lang w:val="en-US"/>
        </w:rPr>
        <w:t>cation number</w:t>
      </w:r>
      <w:r w:rsidR="00892C3B" w:rsidRPr="00AB3569">
        <w:rPr>
          <w:sz w:val="24"/>
          <w:szCs w:val="24"/>
          <w:lang w:val="en-US"/>
        </w:rPr>
        <w:t>,</w:t>
      </w:r>
      <w:r w:rsidRPr="00AB3569">
        <w:rPr>
          <w:sz w:val="24"/>
          <w:szCs w:val="24"/>
          <w:lang w:val="en-US"/>
        </w:rPr>
        <w:t xml:space="preserve"> and the </w:t>
      </w:r>
      <w:r w:rsidR="00611680" w:rsidRPr="00AB3569">
        <w:rPr>
          <w:sz w:val="24"/>
          <w:szCs w:val="24"/>
          <w:lang w:val="en-US"/>
        </w:rPr>
        <w:t xml:space="preserve">tax identification number of the </w:t>
      </w:r>
      <w:r w:rsidRPr="00AB3569">
        <w:rPr>
          <w:sz w:val="24"/>
          <w:szCs w:val="24"/>
          <w:lang w:val="en-US"/>
        </w:rPr>
        <w:t xml:space="preserve">companies they were associated with. </w:t>
      </w:r>
    </w:p>
    <w:p w14:paraId="213383EF" w14:textId="296BFF3D" w:rsidR="00D10E55" w:rsidRPr="00AB3569" w:rsidRDefault="00D10E55" w:rsidP="00D10E55">
      <w:pPr>
        <w:rPr>
          <w:sz w:val="24"/>
          <w:szCs w:val="24"/>
          <w:lang w:val="en-US"/>
        </w:rPr>
      </w:pPr>
      <w:r w:rsidRPr="00AB3569">
        <w:rPr>
          <w:sz w:val="24"/>
          <w:szCs w:val="24"/>
          <w:lang w:val="en-US"/>
        </w:rPr>
        <w:lastRenderedPageBreak/>
        <w:t xml:space="preserve">Mr. </w:t>
      </w:r>
      <w:r w:rsidR="006E621A" w:rsidRPr="00AB3569">
        <w:rPr>
          <w:noProof/>
          <w:sz w:val="24"/>
          <w:szCs w:val="24"/>
          <w:lang w:val="en-US"/>
        </w:rPr>
        <w:t>Puškár</w:t>
      </w:r>
      <w:r w:rsidRPr="00AB3569">
        <w:rPr>
          <w:sz w:val="24"/>
          <w:szCs w:val="24"/>
          <w:lang w:val="en-US"/>
        </w:rPr>
        <w:t xml:space="preserve"> applied to the Supreme Court of the Slovak Republic, asking that the tax authorities be ordered not to include his name on the contested list and similar lists and to remove his name from such lists and f</w:t>
      </w:r>
      <w:r w:rsidR="00E13C46" w:rsidRPr="00AB3569">
        <w:rPr>
          <w:sz w:val="24"/>
          <w:szCs w:val="24"/>
          <w:lang w:val="en-US"/>
        </w:rPr>
        <w:t xml:space="preserve">rom </w:t>
      </w:r>
      <w:r w:rsidR="00981749" w:rsidRPr="00AB3569">
        <w:rPr>
          <w:sz w:val="24"/>
          <w:szCs w:val="24"/>
          <w:lang w:val="en-US"/>
        </w:rPr>
        <w:t xml:space="preserve">their </w:t>
      </w:r>
      <w:r w:rsidR="00E13C46" w:rsidRPr="00AB3569">
        <w:rPr>
          <w:sz w:val="24"/>
          <w:szCs w:val="24"/>
          <w:lang w:val="en-US"/>
        </w:rPr>
        <w:t>IT</w:t>
      </w:r>
      <w:r w:rsidRPr="00AB3569">
        <w:rPr>
          <w:sz w:val="24"/>
          <w:szCs w:val="24"/>
          <w:lang w:val="en-US"/>
        </w:rPr>
        <w:t xml:space="preserve"> system. </w:t>
      </w:r>
      <w:r w:rsidR="00E819B1" w:rsidRPr="00AB3569">
        <w:rPr>
          <w:sz w:val="24"/>
          <w:szCs w:val="24"/>
          <w:lang w:val="en-US"/>
        </w:rPr>
        <w:t>H</w:t>
      </w:r>
      <w:r w:rsidRPr="00AB3569">
        <w:rPr>
          <w:sz w:val="24"/>
          <w:szCs w:val="24"/>
          <w:lang w:val="en-US"/>
        </w:rPr>
        <w:t>is inclusion in the list</w:t>
      </w:r>
      <w:r w:rsidR="00E819B1" w:rsidRPr="00AB3569">
        <w:rPr>
          <w:sz w:val="24"/>
          <w:szCs w:val="24"/>
          <w:lang w:val="en-US"/>
        </w:rPr>
        <w:t>, he argued,</w:t>
      </w:r>
      <w:r w:rsidRPr="00AB3569">
        <w:rPr>
          <w:sz w:val="24"/>
          <w:szCs w:val="24"/>
          <w:lang w:val="en-US"/>
        </w:rPr>
        <w:t xml:space="preserve"> infringed his personal rights, in particular his right to the protection of his good name, dignity and good reputation. </w:t>
      </w:r>
    </w:p>
    <w:p w14:paraId="50591A1A" w14:textId="6321D236" w:rsidR="00D10E55" w:rsidRPr="00AB3569" w:rsidRDefault="00D10E55" w:rsidP="00D10E55">
      <w:pPr>
        <w:rPr>
          <w:sz w:val="24"/>
          <w:szCs w:val="24"/>
          <w:lang w:val="en-US"/>
        </w:rPr>
      </w:pPr>
      <w:r w:rsidRPr="00AB3569">
        <w:rPr>
          <w:sz w:val="24"/>
          <w:szCs w:val="24"/>
          <w:lang w:val="en-US"/>
        </w:rPr>
        <w:t xml:space="preserve">The Supreme Court rejected his claims, partly </w:t>
      </w:r>
      <w:r w:rsidR="00792375" w:rsidRPr="00AB3569">
        <w:rPr>
          <w:sz w:val="24"/>
          <w:szCs w:val="24"/>
          <w:lang w:val="en-US"/>
        </w:rPr>
        <w:t xml:space="preserve">on substantive grounds, partly </w:t>
      </w:r>
      <w:r w:rsidRPr="00AB3569">
        <w:rPr>
          <w:sz w:val="24"/>
          <w:szCs w:val="24"/>
          <w:lang w:val="en-US"/>
        </w:rPr>
        <w:t>because Mr</w:t>
      </w:r>
      <w:r w:rsidR="00A1675B" w:rsidRPr="00AB3569">
        <w:rPr>
          <w:sz w:val="24"/>
          <w:szCs w:val="24"/>
          <w:lang w:val="en-US"/>
        </w:rPr>
        <w:t>.</w:t>
      </w:r>
      <w:r w:rsidRPr="00AB3569">
        <w:rPr>
          <w:sz w:val="24"/>
          <w:szCs w:val="24"/>
          <w:lang w:val="en-US"/>
        </w:rPr>
        <w:t xml:space="preserve"> </w:t>
      </w:r>
      <w:r w:rsidR="006E621A" w:rsidRPr="00AB3569">
        <w:rPr>
          <w:noProof/>
          <w:sz w:val="24"/>
          <w:szCs w:val="24"/>
          <w:lang w:val="en-US"/>
        </w:rPr>
        <w:t>Puškár</w:t>
      </w:r>
      <w:r w:rsidRPr="00AB3569">
        <w:rPr>
          <w:sz w:val="24"/>
          <w:szCs w:val="24"/>
          <w:lang w:val="en-US"/>
        </w:rPr>
        <w:t xml:space="preserve"> had not exhausted the av</w:t>
      </w:r>
      <w:r w:rsidR="00792375" w:rsidRPr="00AB3569">
        <w:rPr>
          <w:sz w:val="24"/>
          <w:szCs w:val="24"/>
          <w:lang w:val="en-US"/>
        </w:rPr>
        <w:t>ailable administrative remedies</w:t>
      </w:r>
      <w:r w:rsidRPr="00AB3569">
        <w:rPr>
          <w:sz w:val="24"/>
          <w:szCs w:val="24"/>
          <w:lang w:val="en-US"/>
        </w:rPr>
        <w:t>. Following an appeal, the Constitutional Court of the Slovak Republic set aside the decision, and referred the case back to the Supreme Court to be reheard. The Constitutional Court found, with reference to the case law of the European Court of Human Rights</w:t>
      </w:r>
      <w:r w:rsidR="0072285E" w:rsidRPr="00AB3569">
        <w:rPr>
          <w:sz w:val="24"/>
          <w:szCs w:val="24"/>
          <w:lang w:val="en-US"/>
        </w:rPr>
        <w:t xml:space="preserve"> (ECtHR)</w:t>
      </w:r>
      <w:r w:rsidRPr="00AB3569">
        <w:rPr>
          <w:sz w:val="24"/>
          <w:szCs w:val="24"/>
          <w:lang w:val="en-US"/>
        </w:rPr>
        <w:t xml:space="preserve">, that the Supreme Court had infringed the applicant’s fundamental rights, </w:t>
      </w:r>
      <w:r w:rsidRPr="00AB3569">
        <w:rPr>
          <w:i/>
          <w:sz w:val="24"/>
          <w:szCs w:val="24"/>
          <w:lang w:val="en-US"/>
        </w:rPr>
        <w:t>inter alia</w:t>
      </w:r>
      <w:r w:rsidRPr="00AB3569">
        <w:rPr>
          <w:sz w:val="24"/>
          <w:szCs w:val="24"/>
          <w:lang w:val="en-US"/>
        </w:rPr>
        <w:t xml:space="preserve">, the right to a fair trial, the right to privacy and the right to protection of personal data. </w:t>
      </w:r>
    </w:p>
    <w:p w14:paraId="054B2CB8" w14:textId="5D11B94F" w:rsidR="00684D3C" w:rsidRPr="00AB3569" w:rsidRDefault="00D10E55" w:rsidP="00D10E55">
      <w:pPr>
        <w:rPr>
          <w:sz w:val="24"/>
          <w:szCs w:val="24"/>
          <w:lang w:val="en-US"/>
        </w:rPr>
      </w:pPr>
      <w:r w:rsidRPr="00AB3569">
        <w:rPr>
          <w:sz w:val="24"/>
          <w:szCs w:val="24"/>
          <w:lang w:val="en-US"/>
        </w:rPr>
        <w:t xml:space="preserve">The Supreme Court stayed the proceedings, and referred four questions to the </w:t>
      </w:r>
      <w:r w:rsidR="007B6D4B" w:rsidRPr="00AB3569">
        <w:rPr>
          <w:sz w:val="24"/>
          <w:szCs w:val="24"/>
          <w:lang w:val="en-US"/>
        </w:rPr>
        <w:t>ECJ</w:t>
      </w:r>
      <w:r w:rsidRPr="00AB3569">
        <w:rPr>
          <w:sz w:val="24"/>
          <w:szCs w:val="24"/>
          <w:lang w:val="en-US"/>
        </w:rPr>
        <w:t xml:space="preserve"> for a preliminary ruling: </w:t>
      </w:r>
      <w:r w:rsidR="0021148E" w:rsidRPr="00AB3569">
        <w:rPr>
          <w:i/>
          <w:sz w:val="24"/>
          <w:szCs w:val="24"/>
          <w:lang w:val="en-US"/>
        </w:rPr>
        <w:t>f</w:t>
      </w:r>
      <w:r w:rsidRPr="00AB3569">
        <w:rPr>
          <w:i/>
          <w:sz w:val="24"/>
          <w:szCs w:val="24"/>
          <w:lang w:val="en-US"/>
        </w:rPr>
        <w:t>irst</w:t>
      </w:r>
      <w:r w:rsidRPr="00AB3569">
        <w:rPr>
          <w:sz w:val="24"/>
          <w:szCs w:val="24"/>
          <w:lang w:val="en-US"/>
        </w:rPr>
        <w:t>, whether article 47 of the Charter precludes a national rule which makes the admissibility of a legal action conditional on a prior exhaustion of ava</w:t>
      </w:r>
      <w:r w:rsidR="00117B22" w:rsidRPr="00AB3569">
        <w:rPr>
          <w:sz w:val="24"/>
          <w:szCs w:val="24"/>
          <w:lang w:val="en-US"/>
        </w:rPr>
        <w:t xml:space="preserve">ilable administrative remedies; </w:t>
      </w:r>
      <w:r w:rsidR="00117B22" w:rsidRPr="00AB3569">
        <w:rPr>
          <w:i/>
          <w:sz w:val="24"/>
          <w:szCs w:val="24"/>
          <w:lang w:val="en-US"/>
        </w:rPr>
        <w:t>s</w:t>
      </w:r>
      <w:r w:rsidRPr="00AB3569">
        <w:rPr>
          <w:i/>
          <w:sz w:val="24"/>
          <w:szCs w:val="24"/>
          <w:lang w:val="en-US"/>
        </w:rPr>
        <w:t>econd,</w:t>
      </w:r>
      <w:r w:rsidRPr="00AB3569">
        <w:rPr>
          <w:sz w:val="24"/>
          <w:szCs w:val="24"/>
          <w:lang w:val="en-US"/>
        </w:rPr>
        <w:t xml:space="preserve"> </w:t>
      </w:r>
      <w:r w:rsidR="00545C67" w:rsidRPr="00AB3569">
        <w:rPr>
          <w:sz w:val="24"/>
          <w:szCs w:val="24"/>
          <w:lang w:val="en-US"/>
        </w:rPr>
        <w:t xml:space="preserve">whether Article 7 and 8 the Charter of Fundamental rights and the Data Protection Directive </w:t>
      </w:r>
      <w:r w:rsidR="00FD0BB9" w:rsidRPr="00AB3569">
        <w:rPr>
          <w:sz w:val="24"/>
          <w:szCs w:val="24"/>
          <w:lang w:val="en-US"/>
        </w:rPr>
        <w:t>prevent</w:t>
      </w:r>
      <w:r w:rsidR="00545C67" w:rsidRPr="00AB3569">
        <w:rPr>
          <w:sz w:val="24"/>
          <w:szCs w:val="24"/>
          <w:lang w:val="en-US"/>
        </w:rPr>
        <w:t xml:space="preserve"> the tax authorities from keeping a list of persons purpor</w:t>
      </w:r>
      <w:r w:rsidR="0021148E" w:rsidRPr="00AB3569">
        <w:rPr>
          <w:sz w:val="24"/>
          <w:szCs w:val="24"/>
          <w:lang w:val="en-US"/>
        </w:rPr>
        <w:t>t</w:t>
      </w:r>
      <w:r w:rsidR="00545C67" w:rsidRPr="00AB3569">
        <w:rPr>
          <w:sz w:val="24"/>
          <w:szCs w:val="24"/>
          <w:lang w:val="en-US"/>
        </w:rPr>
        <w:t>ing to act as company directors of specific legal persons, wit</w:t>
      </w:r>
      <w:r w:rsidR="00117B22" w:rsidRPr="00AB3569">
        <w:rPr>
          <w:sz w:val="24"/>
          <w:szCs w:val="24"/>
          <w:lang w:val="en-US"/>
        </w:rPr>
        <w:t xml:space="preserve">hout the data subjects’ consent; </w:t>
      </w:r>
      <w:r w:rsidR="00117B22" w:rsidRPr="00AB3569">
        <w:rPr>
          <w:i/>
          <w:sz w:val="24"/>
          <w:szCs w:val="24"/>
          <w:lang w:val="en-US"/>
        </w:rPr>
        <w:t>t</w:t>
      </w:r>
      <w:r w:rsidRPr="00AB3569">
        <w:rPr>
          <w:i/>
          <w:sz w:val="24"/>
          <w:szCs w:val="24"/>
          <w:lang w:val="en-US"/>
        </w:rPr>
        <w:t>hird</w:t>
      </w:r>
      <w:r w:rsidR="00AC5091" w:rsidRPr="00AB3569">
        <w:rPr>
          <w:sz w:val="24"/>
          <w:szCs w:val="24"/>
          <w:lang w:val="en-US"/>
        </w:rPr>
        <w:t>,</w:t>
      </w:r>
      <w:r w:rsidRPr="00AB3569">
        <w:rPr>
          <w:sz w:val="24"/>
          <w:szCs w:val="24"/>
          <w:lang w:val="en-US"/>
        </w:rPr>
        <w:t xml:space="preserve"> whether the list </w:t>
      </w:r>
      <w:r w:rsidR="00865A4F" w:rsidRPr="00AB3569">
        <w:rPr>
          <w:sz w:val="24"/>
          <w:szCs w:val="24"/>
          <w:lang w:val="en-US"/>
        </w:rPr>
        <w:t>had to</w:t>
      </w:r>
      <w:r w:rsidRPr="00AB3569">
        <w:rPr>
          <w:sz w:val="24"/>
          <w:szCs w:val="24"/>
          <w:lang w:val="en-US"/>
        </w:rPr>
        <w:t xml:space="preserve"> be rejected as inadmissible evidence</w:t>
      </w:r>
      <w:r w:rsidR="00865A4F" w:rsidRPr="00AB3569">
        <w:rPr>
          <w:sz w:val="24"/>
          <w:szCs w:val="24"/>
          <w:lang w:val="en-US"/>
        </w:rPr>
        <w:t xml:space="preserve"> in accordance with Article 47(2) of the Charter</w:t>
      </w:r>
      <w:r w:rsidRPr="00AB3569">
        <w:rPr>
          <w:sz w:val="24"/>
          <w:szCs w:val="24"/>
          <w:lang w:val="en-US"/>
        </w:rPr>
        <w:t xml:space="preserve"> if it was obtained by the claimant without the </w:t>
      </w:r>
      <w:r w:rsidR="00117B22" w:rsidRPr="00AB3569">
        <w:rPr>
          <w:sz w:val="24"/>
          <w:szCs w:val="24"/>
          <w:lang w:val="en-US"/>
        </w:rPr>
        <w:t>consent of the tax authorities</w:t>
      </w:r>
      <w:r w:rsidR="000D0ADE" w:rsidRPr="00AB3569">
        <w:rPr>
          <w:sz w:val="24"/>
          <w:szCs w:val="24"/>
          <w:lang w:val="en-US"/>
        </w:rPr>
        <w:t>;</w:t>
      </w:r>
      <w:r w:rsidR="00117B22" w:rsidRPr="00AB3569">
        <w:rPr>
          <w:sz w:val="24"/>
          <w:szCs w:val="24"/>
          <w:lang w:val="en-US"/>
        </w:rPr>
        <w:t xml:space="preserve"> and </w:t>
      </w:r>
      <w:r w:rsidR="00117B22" w:rsidRPr="00AB3569">
        <w:rPr>
          <w:i/>
          <w:sz w:val="24"/>
          <w:szCs w:val="24"/>
          <w:lang w:val="en-US"/>
        </w:rPr>
        <w:t>fourth</w:t>
      </w:r>
      <w:r w:rsidRPr="00AB3569">
        <w:rPr>
          <w:sz w:val="24"/>
          <w:szCs w:val="24"/>
          <w:lang w:val="en-US"/>
        </w:rPr>
        <w:t xml:space="preserve">, whether to give precedence to the </w:t>
      </w:r>
      <w:r w:rsidR="007269A7" w:rsidRPr="00AB3569">
        <w:rPr>
          <w:sz w:val="24"/>
          <w:szCs w:val="24"/>
          <w:lang w:val="en-US"/>
        </w:rPr>
        <w:t xml:space="preserve">case law from the </w:t>
      </w:r>
      <w:r w:rsidR="007B6D4B" w:rsidRPr="00AB3569">
        <w:rPr>
          <w:sz w:val="24"/>
          <w:szCs w:val="24"/>
          <w:lang w:val="en-US"/>
        </w:rPr>
        <w:t>ECJ</w:t>
      </w:r>
      <w:r w:rsidR="00826F4C" w:rsidRPr="00AB3569">
        <w:rPr>
          <w:sz w:val="24"/>
          <w:szCs w:val="24"/>
          <w:lang w:val="en-US"/>
        </w:rPr>
        <w:t xml:space="preserve"> </w:t>
      </w:r>
      <w:r w:rsidR="00FD0BB9" w:rsidRPr="00AB3569">
        <w:rPr>
          <w:sz w:val="24"/>
          <w:szCs w:val="24"/>
          <w:lang w:val="en-US"/>
        </w:rPr>
        <w:t>or</w:t>
      </w:r>
      <w:r w:rsidR="007269A7" w:rsidRPr="00AB3569">
        <w:rPr>
          <w:sz w:val="24"/>
          <w:szCs w:val="24"/>
          <w:lang w:val="en-US"/>
        </w:rPr>
        <w:t xml:space="preserve"> the EC</w:t>
      </w:r>
      <w:r w:rsidRPr="00AB3569">
        <w:rPr>
          <w:sz w:val="24"/>
          <w:szCs w:val="24"/>
          <w:lang w:val="en-US"/>
        </w:rPr>
        <w:t xml:space="preserve">tHR, where those two courts are in conflict. </w:t>
      </w:r>
    </w:p>
    <w:p w14:paraId="2FFF3715" w14:textId="77777777" w:rsidR="00B7436B" w:rsidRPr="00AB3569" w:rsidRDefault="00B7436B" w:rsidP="00D10E55">
      <w:pPr>
        <w:rPr>
          <w:sz w:val="24"/>
          <w:szCs w:val="24"/>
          <w:lang w:val="en-US"/>
        </w:rPr>
      </w:pPr>
    </w:p>
    <w:p w14:paraId="6CF0E8DB" w14:textId="752B1F64" w:rsidR="00684D3C" w:rsidRPr="00AB3569" w:rsidRDefault="00684D3C" w:rsidP="00196519">
      <w:pPr>
        <w:pStyle w:val="ListParagraph"/>
        <w:numPr>
          <w:ilvl w:val="0"/>
          <w:numId w:val="1"/>
        </w:numPr>
        <w:rPr>
          <w:b/>
          <w:sz w:val="24"/>
          <w:szCs w:val="24"/>
          <w:lang w:val="en-US"/>
        </w:rPr>
      </w:pPr>
      <w:r w:rsidRPr="00AB3569">
        <w:rPr>
          <w:b/>
          <w:sz w:val="24"/>
          <w:szCs w:val="24"/>
          <w:lang w:val="en-US"/>
        </w:rPr>
        <w:t xml:space="preserve">Opinion of </w:t>
      </w:r>
      <w:r w:rsidR="0090148C" w:rsidRPr="00AB3569">
        <w:rPr>
          <w:b/>
          <w:sz w:val="24"/>
          <w:szCs w:val="24"/>
          <w:lang w:val="en-US"/>
        </w:rPr>
        <w:t xml:space="preserve">the </w:t>
      </w:r>
      <w:r w:rsidRPr="00AB3569">
        <w:rPr>
          <w:b/>
          <w:sz w:val="24"/>
          <w:szCs w:val="24"/>
          <w:lang w:val="en-US"/>
        </w:rPr>
        <w:t xml:space="preserve">Advocate General </w:t>
      </w:r>
    </w:p>
    <w:p w14:paraId="71221DA8" w14:textId="0AAC1275" w:rsidR="00684D3C" w:rsidRPr="00AB3569" w:rsidRDefault="00307924" w:rsidP="00684D3C">
      <w:pPr>
        <w:rPr>
          <w:sz w:val="24"/>
          <w:szCs w:val="24"/>
          <w:lang w:val="en-US"/>
        </w:rPr>
      </w:pPr>
      <w:r w:rsidRPr="00AB3569">
        <w:rPr>
          <w:sz w:val="24"/>
          <w:szCs w:val="24"/>
          <w:lang w:val="en-US"/>
        </w:rPr>
        <w:t xml:space="preserve">The Opinion of </w:t>
      </w:r>
      <w:r w:rsidR="00FF0DE3" w:rsidRPr="00AB3569">
        <w:rPr>
          <w:sz w:val="24"/>
          <w:szCs w:val="24"/>
          <w:lang w:val="en-US"/>
        </w:rPr>
        <w:t>Advocate General Kokott analy</w:t>
      </w:r>
      <w:r w:rsidR="000D0ADE" w:rsidRPr="00AB3569">
        <w:rPr>
          <w:sz w:val="24"/>
          <w:szCs w:val="24"/>
          <w:lang w:val="en-US"/>
        </w:rPr>
        <w:t>z</w:t>
      </w:r>
      <w:r w:rsidR="00FF0DE3" w:rsidRPr="00AB3569">
        <w:rPr>
          <w:sz w:val="24"/>
          <w:szCs w:val="24"/>
          <w:lang w:val="en-US"/>
        </w:rPr>
        <w:t>ed</w:t>
      </w:r>
      <w:r w:rsidR="00684D3C" w:rsidRPr="00AB3569">
        <w:rPr>
          <w:sz w:val="24"/>
          <w:szCs w:val="24"/>
          <w:lang w:val="en-US"/>
        </w:rPr>
        <w:t xml:space="preserve"> the first and third question</w:t>
      </w:r>
      <w:r w:rsidR="000D0ADE" w:rsidRPr="00AB3569">
        <w:rPr>
          <w:sz w:val="24"/>
          <w:szCs w:val="24"/>
          <w:lang w:val="en-US"/>
        </w:rPr>
        <w:t>s</w:t>
      </w:r>
      <w:r w:rsidR="00684D3C" w:rsidRPr="00AB3569">
        <w:rPr>
          <w:sz w:val="24"/>
          <w:szCs w:val="24"/>
          <w:lang w:val="en-US"/>
        </w:rPr>
        <w:t xml:space="preserve"> in succession, since both concern</w:t>
      </w:r>
      <w:r w:rsidRPr="00AB3569">
        <w:rPr>
          <w:sz w:val="24"/>
          <w:szCs w:val="24"/>
          <w:lang w:val="en-US"/>
        </w:rPr>
        <w:t>ed</w:t>
      </w:r>
      <w:r w:rsidR="00684D3C" w:rsidRPr="00AB3569">
        <w:rPr>
          <w:sz w:val="24"/>
          <w:szCs w:val="24"/>
          <w:lang w:val="en-US"/>
        </w:rPr>
        <w:t xml:space="preserve"> the principle of effective judicial protection. In answering the first question, pertaining to the mandatory exhaustion of adm</w:t>
      </w:r>
      <w:r w:rsidR="00FF0DE3" w:rsidRPr="00AB3569">
        <w:rPr>
          <w:sz w:val="24"/>
          <w:szCs w:val="24"/>
          <w:lang w:val="en-US"/>
        </w:rPr>
        <w:t xml:space="preserve">inistrative remedies, </w:t>
      </w:r>
      <w:r w:rsidRPr="00AB3569">
        <w:rPr>
          <w:sz w:val="24"/>
          <w:szCs w:val="24"/>
          <w:lang w:val="en-US"/>
        </w:rPr>
        <w:t>the Advocate General</w:t>
      </w:r>
      <w:r w:rsidR="00FF0DE3" w:rsidRPr="00AB3569">
        <w:rPr>
          <w:sz w:val="24"/>
          <w:szCs w:val="24"/>
          <w:lang w:val="en-US"/>
        </w:rPr>
        <w:t xml:space="preserve"> started</w:t>
      </w:r>
      <w:r w:rsidR="00684D3C" w:rsidRPr="00AB3569">
        <w:rPr>
          <w:sz w:val="24"/>
          <w:szCs w:val="24"/>
          <w:lang w:val="en-US"/>
        </w:rPr>
        <w:t xml:space="preserve"> with Article 22 of the Data Protection Directive,</w:t>
      </w:r>
      <w:r w:rsidR="00FF0DE3" w:rsidRPr="00AB3569">
        <w:rPr>
          <w:sz w:val="24"/>
          <w:szCs w:val="24"/>
          <w:lang w:val="en-US"/>
        </w:rPr>
        <w:t xml:space="preserve"> </w:t>
      </w:r>
      <w:r w:rsidRPr="00AB3569">
        <w:rPr>
          <w:sz w:val="24"/>
          <w:szCs w:val="24"/>
          <w:lang w:val="en-US"/>
        </w:rPr>
        <w:t>requiring that</w:t>
      </w:r>
      <w:r w:rsidR="00684D3C" w:rsidRPr="00AB3569">
        <w:rPr>
          <w:sz w:val="24"/>
          <w:szCs w:val="24"/>
          <w:lang w:val="en-US"/>
        </w:rPr>
        <w:t xml:space="preserve"> individuals whose data protection rights are violated must be afforded a jud</w:t>
      </w:r>
      <w:r w:rsidR="00FF0DE3" w:rsidRPr="00AB3569">
        <w:rPr>
          <w:sz w:val="24"/>
          <w:szCs w:val="24"/>
          <w:lang w:val="en-US"/>
        </w:rPr>
        <w:t xml:space="preserve">icial remedy. </w:t>
      </w:r>
      <w:r w:rsidR="000D0ADE" w:rsidRPr="00AB3569">
        <w:rPr>
          <w:sz w:val="24"/>
          <w:szCs w:val="24"/>
          <w:lang w:val="en-US"/>
        </w:rPr>
        <w:t>Since t</w:t>
      </w:r>
      <w:r w:rsidR="00FF0DE3" w:rsidRPr="00AB3569">
        <w:rPr>
          <w:sz w:val="24"/>
          <w:szCs w:val="24"/>
          <w:lang w:val="en-US"/>
        </w:rPr>
        <w:t>he provision did</w:t>
      </w:r>
      <w:r w:rsidR="00684D3C" w:rsidRPr="00AB3569">
        <w:rPr>
          <w:sz w:val="24"/>
          <w:szCs w:val="24"/>
          <w:lang w:val="en-US"/>
        </w:rPr>
        <w:t xml:space="preserve"> not clarify whether the a</w:t>
      </w:r>
      <w:r w:rsidR="00FF0DE3" w:rsidRPr="00AB3569">
        <w:rPr>
          <w:sz w:val="24"/>
          <w:szCs w:val="24"/>
          <w:lang w:val="en-US"/>
        </w:rPr>
        <w:t>vailability of such a remedy could</w:t>
      </w:r>
      <w:r w:rsidR="00684D3C" w:rsidRPr="00AB3569">
        <w:rPr>
          <w:sz w:val="24"/>
          <w:szCs w:val="24"/>
          <w:lang w:val="en-US"/>
        </w:rPr>
        <w:t xml:space="preserve"> be made contingent on the exhaustion of an administrative remedy, </w:t>
      </w:r>
      <w:r w:rsidR="00FF0DE3" w:rsidRPr="00AB3569">
        <w:rPr>
          <w:sz w:val="24"/>
          <w:szCs w:val="24"/>
          <w:lang w:val="en-US"/>
        </w:rPr>
        <w:t>she turned</w:t>
      </w:r>
      <w:r w:rsidR="00684D3C" w:rsidRPr="00AB3569">
        <w:rPr>
          <w:sz w:val="24"/>
          <w:szCs w:val="24"/>
          <w:lang w:val="en-US"/>
        </w:rPr>
        <w:t xml:space="preserve"> to Article 79 GDPR for guidance.</w:t>
      </w:r>
      <w:r w:rsidR="00B91944" w:rsidRPr="00AB3569">
        <w:rPr>
          <w:rStyle w:val="FootnoteReference"/>
          <w:sz w:val="24"/>
          <w:szCs w:val="24"/>
          <w:lang w:val="en-US"/>
        </w:rPr>
        <w:footnoteReference w:id="12"/>
      </w:r>
      <w:r w:rsidR="00684D3C" w:rsidRPr="00AB3569">
        <w:rPr>
          <w:sz w:val="24"/>
          <w:szCs w:val="24"/>
          <w:lang w:val="en-US"/>
        </w:rPr>
        <w:t xml:space="preserve"> The latter provision prescribes the right to an “effective” judicial remedy</w:t>
      </w:r>
      <w:r w:rsidR="00FF0DE3" w:rsidRPr="00AB3569">
        <w:rPr>
          <w:sz w:val="24"/>
          <w:szCs w:val="24"/>
          <w:lang w:val="en-US"/>
        </w:rPr>
        <w:t>,</w:t>
      </w:r>
      <w:r w:rsidR="00F33C08" w:rsidRPr="00AB3569">
        <w:rPr>
          <w:sz w:val="24"/>
          <w:szCs w:val="24"/>
          <w:lang w:val="en-US"/>
        </w:rPr>
        <w:t xml:space="preserve"> without prejudice to any available administrative or non-judicial remedy</w:t>
      </w:r>
      <w:r w:rsidR="007E7342" w:rsidRPr="00AB3569">
        <w:rPr>
          <w:sz w:val="24"/>
          <w:szCs w:val="24"/>
          <w:lang w:val="en-US"/>
        </w:rPr>
        <w:t xml:space="preserve">, and </w:t>
      </w:r>
      <w:r w:rsidR="00FF0DE3" w:rsidRPr="00AB3569">
        <w:rPr>
          <w:sz w:val="24"/>
          <w:szCs w:val="24"/>
          <w:lang w:val="en-US"/>
        </w:rPr>
        <w:t>the Advocate General noted</w:t>
      </w:r>
      <w:r w:rsidR="00684D3C" w:rsidRPr="00AB3569">
        <w:rPr>
          <w:sz w:val="24"/>
          <w:szCs w:val="24"/>
          <w:lang w:val="en-US"/>
        </w:rPr>
        <w:t xml:space="preserve"> that the </w:t>
      </w:r>
      <w:r w:rsidR="00F33C08" w:rsidRPr="00AB3569">
        <w:rPr>
          <w:sz w:val="24"/>
          <w:szCs w:val="24"/>
          <w:lang w:val="en-US"/>
        </w:rPr>
        <w:t xml:space="preserve">effectiveness requirement </w:t>
      </w:r>
      <w:r w:rsidR="00684D3C" w:rsidRPr="00AB3569">
        <w:rPr>
          <w:sz w:val="24"/>
          <w:szCs w:val="24"/>
          <w:lang w:val="en-US"/>
        </w:rPr>
        <w:t xml:space="preserve">must </w:t>
      </w:r>
      <w:r w:rsidR="00F33C08" w:rsidRPr="00AB3569">
        <w:rPr>
          <w:sz w:val="24"/>
          <w:szCs w:val="24"/>
          <w:lang w:val="en-US"/>
        </w:rPr>
        <w:t xml:space="preserve">also </w:t>
      </w:r>
      <w:r w:rsidR="00684D3C" w:rsidRPr="00AB3569">
        <w:rPr>
          <w:sz w:val="24"/>
          <w:szCs w:val="24"/>
          <w:lang w:val="en-US"/>
        </w:rPr>
        <w:t>be read into Article 22 of the Directive.</w:t>
      </w:r>
      <w:r w:rsidR="00BC752A" w:rsidRPr="00AB3569">
        <w:rPr>
          <w:rStyle w:val="FootnoteReference"/>
          <w:sz w:val="24"/>
          <w:szCs w:val="24"/>
          <w:lang w:val="en-US"/>
        </w:rPr>
        <w:footnoteReference w:id="13"/>
      </w:r>
      <w:r w:rsidR="00684D3C" w:rsidRPr="00AB3569">
        <w:rPr>
          <w:sz w:val="24"/>
          <w:szCs w:val="24"/>
          <w:lang w:val="en-US"/>
        </w:rPr>
        <w:t xml:space="preserve"> An obligation to exhaust an administrative procedure before </w:t>
      </w:r>
      <w:r w:rsidR="00FF0DE3" w:rsidRPr="00AB3569">
        <w:rPr>
          <w:sz w:val="24"/>
          <w:szCs w:val="24"/>
          <w:lang w:val="en-US"/>
        </w:rPr>
        <w:t>seizing the court, she concluded</w:t>
      </w:r>
      <w:r w:rsidR="00684D3C" w:rsidRPr="00AB3569">
        <w:rPr>
          <w:sz w:val="24"/>
          <w:szCs w:val="24"/>
          <w:lang w:val="en-US"/>
        </w:rPr>
        <w:t>, will be impermissible if the judicial remedy is rendered ineffective as a result thereof.</w:t>
      </w:r>
      <w:r w:rsidR="00BC752A" w:rsidRPr="00AB3569">
        <w:rPr>
          <w:rStyle w:val="FootnoteReference"/>
          <w:sz w:val="24"/>
          <w:szCs w:val="24"/>
          <w:lang w:val="en-US"/>
        </w:rPr>
        <w:footnoteReference w:id="14"/>
      </w:r>
      <w:r w:rsidR="00684D3C" w:rsidRPr="00AB3569">
        <w:rPr>
          <w:sz w:val="24"/>
          <w:szCs w:val="24"/>
          <w:lang w:val="en-US"/>
        </w:rPr>
        <w:t xml:space="preserve"> </w:t>
      </w:r>
    </w:p>
    <w:p w14:paraId="44D898DD" w14:textId="25C9EBD9" w:rsidR="00684D3C" w:rsidRPr="00AB3569" w:rsidRDefault="00684D3C" w:rsidP="00684D3C">
      <w:pPr>
        <w:rPr>
          <w:sz w:val="24"/>
          <w:szCs w:val="24"/>
          <w:lang w:val="en-US"/>
        </w:rPr>
      </w:pPr>
      <w:r w:rsidRPr="00AB3569">
        <w:rPr>
          <w:sz w:val="24"/>
          <w:szCs w:val="24"/>
          <w:lang w:val="en-US"/>
        </w:rPr>
        <w:t xml:space="preserve">Before turning to examine the </w:t>
      </w:r>
      <w:r w:rsidR="00C379DF" w:rsidRPr="00AB3569">
        <w:rPr>
          <w:sz w:val="24"/>
          <w:szCs w:val="24"/>
          <w:lang w:val="en-US"/>
        </w:rPr>
        <w:t>(in)</w:t>
      </w:r>
      <w:r w:rsidRPr="00AB3569">
        <w:rPr>
          <w:sz w:val="24"/>
          <w:szCs w:val="24"/>
          <w:lang w:val="en-US"/>
        </w:rPr>
        <w:t>effectiveness of the judicial re</w:t>
      </w:r>
      <w:r w:rsidR="00FF0DE3" w:rsidRPr="00AB3569">
        <w:rPr>
          <w:sz w:val="24"/>
          <w:szCs w:val="24"/>
          <w:lang w:val="en-US"/>
        </w:rPr>
        <w:t>medy, the Advocate General made</w:t>
      </w:r>
      <w:r w:rsidRPr="00AB3569">
        <w:rPr>
          <w:sz w:val="24"/>
          <w:szCs w:val="24"/>
          <w:lang w:val="en-US"/>
        </w:rPr>
        <w:t xml:space="preserve"> some interesting remarks as to the relationship between the principle of effectiveness and the right to effectiv</w:t>
      </w:r>
      <w:r w:rsidR="00FF0DE3" w:rsidRPr="00AB3569">
        <w:rPr>
          <w:sz w:val="24"/>
          <w:szCs w:val="24"/>
          <w:lang w:val="en-US"/>
        </w:rPr>
        <w:t>e judicial protection. She noted</w:t>
      </w:r>
      <w:r w:rsidRPr="00AB3569">
        <w:rPr>
          <w:sz w:val="24"/>
          <w:szCs w:val="24"/>
          <w:lang w:val="en-US"/>
        </w:rPr>
        <w:t xml:space="preserve"> that the principle of effectiveness – pursuant to which national procedures may not make the exercise of Union rights </w:t>
      </w:r>
      <w:r w:rsidR="00677055" w:rsidRPr="00AB3569">
        <w:rPr>
          <w:sz w:val="24"/>
          <w:szCs w:val="24"/>
          <w:lang w:val="en-US"/>
        </w:rPr>
        <w:t xml:space="preserve">virtually </w:t>
      </w:r>
      <w:r w:rsidRPr="00AB3569">
        <w:rPr>
          <w:sz w:val="24"/>
          <w:szCs w:val="24"/>
          <w:lang w:val="en-US"/>
        </w:rPr>
        <w:t>impossible or excessively difficult</w:t>
      </w:r>
      <w:r w:rsidR="00386FE4" w:rsidRPr="00AB3569">
        <w:rPr>
          <w:rStyle w:val="FootnoteReference"/>
          <w:sz w:val="24"/>
          <w:szCs w:val="24"/>
          <w:lang w:val="en-US"/>
        </w:rPr>
        <w:footnoteReference w:id="15"/>
      </w:r>
      <w:r w:rsidRPr="00AB3569">
        <w:rPr>
          <w:sz w:val="24"/>
          <w:szCs w:val="24"/>
          <w:lang w:val="en-US"/>
        </w:rPr>
        <w:t xml:space="preserve"> – has increasingly been linked to the right to effective judicial protection as enshrined in Article 47 of the Charter of Fundamental Rights.</w:t>
      </w:r>
      <w:r w:rsidR="00386FE4" w:rsidRPr="00AB3569">
        <w:rPr>
          <w:rStyle w:val="FootnoteReference"/>
          <w:sz w:val="24"/>
          <w:szCs w:val="24"/>
          <w:lang w:val="en-US"/>
        </w:rPr>
        <w:footnoteReference w:id="16"/>
      </w:r>
      <w:r w:rsidRPr="00AB3569">
        <w:rPr>
          <w:sz w:val="24"/>
          <w:szCs w:val="24"/>
          <w:lang w:val="en-US"/>
        </w:rPr>
        <w:t xml:space="preserve"> After comparing t</w:t>
      </w:r>
      <w:r w:rsidR="00FF0DE3" w:rsidRPr="00AB3569">
        <w:rPr>
          <w:sz w:val="24"/>
          <w:szCs w:val="24"/>
          <w:lang w:val="en-US"/>
        </w:rPr>
        <w:t>he two principles, she concluded</w:t>
      </w:r>
      <w:r w:rsidRPr="00AB3569">
        <w:rPr>
          <w:sz w:val="24"/>
          <w:szCs w:val="24"/>
          <w:lang w:val="en-US"/>
        </w:rPr>
        <w:t xml:space="preserve"> that these “ultimately embody the same legal principle” and may therefore be examined jointly by using the rules in Article 47(1) and 52(1) of the Charter.</w:t>
      </w:r>
      <w:r w:rsidR="00386FE4" w:rsidRPr="00AB3569">
        <w:rPr>
          <w:rStyle w:val="FootnoteReference"/>
          <w:sz w:val="24"/>
          <w:szCs w:val="24"/>
          <w:lang w:val="en-US"/>
        </w:rPr>
        <w:footnoteReference w:id="17"/>
      </w:r>
      <w:r w:rsidRPr="00AB3569">
        <w:rPr>
          <w:sz w:val="24"/>
          <w:szCs w:val="24"/>
          <w:lang w:val="en-US"/>
        </w:rPr>
        <w:t xml:space="preserve"> </w:t>
      </w:r>
    </w:p>
    <w:p w14:paraId="446D203D" w14:textId="7A5DB87E" w:rsidR="00684D3C" w:rsidRPr="00AB3569" w:rsidRDefault="00FF0DE3" w:rsidP="00684D3C">
      <w:pPr>
        <w:rPr>
          <w:sz w:val="24"/>
          <w:szCs w:val="24"/>
          <w:lang w:val="en-US"/>
        </w:rPr>
      </w:pPr>
      <w:r w:rsidRPr="00AB3569">
        <w:rPr>
          <w:sz w:val="24"/>
          <w:szCs w:val="24"/>
          <w:lang w:val="en-US"/>
        </w:rPr>
        <w:t>The Advocate General noted</w:t>
      </w:r>
      <w:r w:rsidR="00684D3C" w:rsidRPr="00AB3569">
        <w:rPr>
          <w:sz w:val="24"/>
          <w:szCs w:val="24"/>
          <w:lang w:val="en-US"/>
        </w:rPr>
        <w:t xml:space="preserve"> that an obligation to exhaust an administrative remedy before bringing an action constitutes a limita</w:t>
      </w:r>
      <w:r w:rsidR="00A200EF" w:rsidRPr="00AB3569">
        <w:rPr>
          <w:sz w:val="24"/>
          <w:szCs w:val="24"/>
          <w:lang w:val="en-US"/>
        </w:rPr>
        <w:t>t</w:t>
      </w:r>
      <w:r w:rsidR="00684D3C" w:rsidRPr="00AB3569">
        <w:rPr>
          <w:sz w:val="24"/>
          <w:szCs w:val="24"/>
          <w:lang w:val="en-US"/>
        </w:rPr>
        <w:t>ion on the right to effective judicial protection, since it would delay access to a judicial remedy and could cause additional costs to be incurred.</w:t>
      </w:r>
      <w:r w:rsidR="00E970D9" w:rsidRPr="00AB3569">
        <w:rPr>
          <w:rStyle w:val="FootnoteReference"/>
          <w:sz w:val="24"/>
          <w:szCs w:val="24"/>
          <w:lang w:val="en-US"/>
        </w:rPr>
        <w:footnoteReference w:id="18"/>
      </w:r>
      <w:r w:rsidR="00684D3C" w:rsidRPr="00AB3569">
        <w:rPr>
          <w:sz w:val="24"/>
          <w:szCs w:val="24"/>
          <w:lang w:val="en-US"/>
        </w:rPr>
        <w:t xml:space="preserve"> </w:t>
      </w:r>
      <w:r w:rsidRPr="00AB3569">
        <w:rPr>
          <w:sz w:val="24"/>
          <w:szCs w:val="24"/>
          <w:lang w:val="en-US"/>
        </w:rPr>
        <w:t>She examined</w:t>
      </w:r>
      <w:r w:rsidR="00684D3C" w:rsidRPr="00AB3569">
        <w:rPr>
          <w:sz w:val="24"/>
          <w:szCs w:val="24"/>
          <w:lang w:val="en-US"/>
        </w:rPr>
        <w:t xml:space="preserve"> whet</w:t>
      </w:r>
      <w:r w:rsidR="00506CB7" w:rsidRPr="00AB3569">
        <w:rPr>
          <w:sz w:val="24"/>
          <w:szCs w:val="24"/>
          <w:lang w:val="en-US"/>
        </w:rPr>
        <w:t>her such a restriction could</w:t>
      </w:r>
      <w:r w:rsidR="00684D3C" w:rsidRPr="00AB3569">
        <w:rPr>
          <w:sz w:val="24"/>
          <w:szCs w:val="24"/>
          <w:lang w:val="en-US"/>
        </w:rPr>
        <w:t xml:space="preserve"> </w:t>
      </w:r>
      <w:r w:rsidR="007E7342" w:rsidRPr="00AB3569">
        <w:rPr>
          <w:sz w:val="24"/>
          <w:szCs w:val="24"/>
          <w:lang w:val="en-US"/>
        </w:rPr>
        <w:t xml:space="preserve">nevertheless </w:t>
      </w:r>
      <w:r w:rsidR="00684D3C" w:rsidRPr="00AB3569">
        <w:rPr>
          <w:sz w:val="24"/>
          <w:szCs w:val="24"/>
          <w:lang w:val="en-US"/>
        </w:rPr>
        <w:t>be justified under Article 52(1) of the Charter. The restriction was provided for by law, and the essence of the right was unlikely to be undermined, since the provision did not “restrict the category of people who could in principle have recourse to judicial review</w:t>
      </w:r>
      <w:r w:rsidR="00A200EF" w:rsidRPr="00AB3569">
        <w:rPr>
          <w:sz w:val="24"/>
          <w:szCs w:val="24"/>
          <w:lang w:val="en-US"/>
        </w:rPr>
        <w:t>.</w:t>
      </w:r>
      <w:r w:rsidR="00684D3C" w:rsidRPr="00AB3569">
        <w:rPr>
          <w:sz w:val="24"/>
          <w:szCs w:val="24"/>
          <w:lang w:val="en-US"/>
        </w:rPr>
        <w:t>”</w:t>
      </w:r>
      <w:r w:rsidR="004B1E31" w:rsidRPr="00AB3569">
        <w:rPr>
          <w:rStyle w:val="FootnoteReference"/>
          <w:sz w:val="24"/>
          <w:szCs w:val="24"/>
          <w:lang w:val="en-US"/>
        </w:rPr>
        <w:footnoteReference w:id="19"/>
      </w:r>
      <w:r w:rsidR="00684D3C" w:rsidRPr="00AB3569">
        <w:rPr>
          <w:sz w:val="24"/>
          <w:szCs w:val="24"/>
          <w:lang w:val="en-US"/>
        </w:rPr>
        <w:t xml:space="preserve"> The objectives pursued – a more effective and less expensive process, lightenin</w:t>
      </w:r>
      <w:r w:rsidRPr="00AB3569">
        <w:rPr>
          <w:sz w:val="24"/>
          <w:szCs w:val="24"/>
          <w:lang w:val="en-US"/>
        </w:rPr>
        <w:t>g the burden on the courts – were</w:t>
      </w:r>
      <w:r w:rsidR="00684D3C" w:rsidRPr="00AB3569">
        <w:rPr>
          <w:sz w:val="24"/>
          <w:szCs w:val="24"/>
          <w:lang w:val="en-US"/>
        </w:rPr>
        <w:t xml:space="preserve"> perceived as legitimate; the procedural requirement was found capable of achieving these objectives</w:t>
      </w:r>
      <w:r w:rsidR="00A200EF" w:rsidRPr="00AB3569">
        <w:rPr>
          <w:sz w:val="24"/>
          <w:szCs w:val="24"/>
          <w:lang w:val="en-US"/>
        </w:rPr>
        <w:t>;</w:t>
      </w:r>
      <w:r w:rsidR="00684D3C" w:rsidRPr="00AB3569">
        <w:rPr>
          <w:sz w:val="24"/>
          <w:szCs w:val="24"/>
          <w:lang w:val="en-US"/>
        </w:rPr>
        <w:t xml:space="preserve"> and a less onerous method did not suggest itself as capable of rea</w:t>
      </w:r>
      <w:r w:rsidR="004B1E31" w:rsidRPr="00AB3569">
        <w:rPr>
          <w:sz w:val="24"/>
          <w:szCs w:val="24"/>
          <w:lang w:val="en-US"/>
        </w:rPr>
        <w:t>li</w:t>
      </w:r>
      <w:r w:rsidR="00172208" w:rsidRPr="00AB3569">
        <w:rPr>
          <w:sz w:val="24"/>
          <w:szCs w:val="24"/>
          <w:lang w:val="en-US"/>
        </w:rPr>
        <w:t>z</w:t>
      </w:r>
      <w:r w:rsidR="004B1E31" w:rsidRPr="00AB3569">
        <w:rPr>
          <w:sz w:val="24"/>
          <w:szCs w:val="24"/>
          <w:lang w:val="en-US"/>
        </w:rPr>
        <w:t>ing them to the same extent.</w:t>
      </w:r>
      <w:r w:rsidR="004B1E31" w:rsidRPr="00AB3569">
        <w:rPr>
          <w:rStyle w:val="FootnoteReference"/>
          <w:sz w:val="24"/>
          <w:szCs w:val="24"/>
          <w:lang w:val="en-US"/>
        </w:rPr>
        <w:footnoteReference w:id="20"/>
      </w:r>
      <w:r w:rsidR="00684D3C" w:rsidRPr="00AB3569">
        <w:rPr>
          <w:sz w:val="24"/>
          <w:szCs w:val="24"/>
          <w:lang w:val="en-US"/>
        </w:rPr>
        <w:t xml:space="preserve"> </w:t>
      </w:r>
      <w:r w:rsidR="00694FAC" w:rsidRPr="00AB3569">
        <w:rPr>
          <w:sz w:val="24"/>
          <w:szCs w:val="24"/>
          <w:lang w:val="en-US"/>
        </w:rPr>
        <w:t xml:space="preserve">Although it was ultimately for the referring court to make the assessment of proportionality, the Advocate General noted that </w:t>
      </w:r>
      <w:r w:rsidR="00684D3C" w:rsidRPr="00AB3569">
        <w:rPr>
          <w:sz w:val="24"/>
          <w:szCs w:val="24"/>
          <w:lang w:val="en-US"/>
        </w:rPr>
        <w:t>the national court should pay due regard to whet</w:t>
      </w:r>
      <w:r w:rsidR="00506CB7" w:rsidRPr="00AB3569">
        <w:rPr>
          <w:sz w:val="24"/>
          <w:szCs w:val="24"/>
          <w:lang w:val="en-US"/>
        </w:rPr>
        <w:t>her the bringing of an action was</w:t>
      </w:r>
      <w:r w:rsidR="00684D3C" w:rsidRPr="00AB3569">
        <w:rPr>
          <w:sz w:val="24"/>
          <w:szCs w:val="24"/>
          <w:lang w:val="en-US"/>
        </w:rPr>
        <w:t xml:space="preserve"> significant</w:t>
      </w:r>
      <w:r w:rsidR="00694FAC" w:rsidRPr="00AB3569">
        <w:rPr>
          <w:sz w:val="24"/>
          <w:szCs w:val="24"/>
          <w:lang w:val="en-US"/>
        </w:rPr>
        <w:t>ly delay</w:t>
      </w:r>
      <w:r w:rsidR="00684D3C" w:rsidRPr="00AB3569">
        <w:rPr>
          <w:sz w:val="24"/>
          <w:szCs w:val="24"/>
          <w:lang w:val="en-US"/>
        </w:rPr>
        <w:t>ed or whether the claima</w:t>
      </w:r>
      <w:r w:rsidR="00E85C5D" w:rsidRPr="00AB3569">
        <w:rPr>
          <w:sz w:val="24"/>
          <w:szCs w:val="24"/>
          <w:lang w:val="en-US"/>
        </w:rPr>
        <w:t>nt would incur excessive costs.</w:t>
      </w:r>
      <w:r w:rsidR="00E85C5D" w:rsidRPr="00AB3569">
        <w:rPr>
          <w:rStyle w:val="FootnoteReference"/>
          <w:sz w:val="24"/>
          <w:szCs w:val="24"/>
          <w:lang w:val="en-US"/>
        </w:rPr>
        <w:footnoteReference w:id="21"/>
      </w:r>
    </w:p>
    <w:p w14:paraId="297AA8B7" w14:textId="77777777" w:rsidR="00CF6980" w:rsidRPr="00AB3569" w:rsidRDefault="0099186E" w:rsidP="007254B3">
      <w:pPr>
        <w:rPr>
          <w:sz w:val="24"/>
          <w:szCs w:val="24"/>
          <w:lang w:val="en-US"/>
        </w:rPr>
      </w:pPr>
      <w:r w:rsidRPr="00AB3569">
        <w:rPr>
          <w:sz w:val="24"/>
          <w:szCs w:val="24"/>
          <w:lang w:val="en-US"/>
        </w:rPr>
        <w:t xml:space="preserve">Tackling </w:t>
      </w:r>
      <w:r w:rsidR="006765A6" w:rsidRPr="00AB3569">
        <w:rPr>
          <w:sz w:val="24"/>
          <w:szCs w:val="24"/>
          <w:lang w:val="en-US"/>
        </w:rPr>
        <w:t>the third question</w:t>
      </w:r>
      <w:r w:rsidR="00684D3C" w:rsidRPr="00AB3569">
        <w:rPr>
          <w:sz w:val="24"/>
          <w:szCs w:val="24"/>
          <w:lang w:val="en-US"/>
        </w:rPr>
        <w:t xml:space="preserve"> on the admissibility of the conte</w:t>
      </w:r>
      <w:r w:rsidR="00692469" w:rsidRPr="00AB3569">
        <w:rPr>
          <w:sz w:val="24"/>
          <w:szCs w:val="24"/>
          <w:lang w:val="en-US"/>
        </w:rPr>
        <w:t>sted list, the Advocate General’s first move was to reformulate</w:t>
      </w:r>
      <w:r w:rsidR="00CF6980" w:rsidRPr="00AB3569">
        <w:rPr>
          <w:sz w:val="24"/>
          <w:szCs w:val="24"/>
          <w:lang w:val="en-US"/>
        </w:rPr>
        <w:t xml:space="preserve"> the question referred</w:t>
      </w:r>
      <w:r w:rsidR="00692469" w:rsidRPr="00AB3569">
        <w:rPr>
          <w:sz w:val="24"/>
          <w:szCs w:val="24"/>
          <w:lang w:val="en-US"/>
        </w:rPr>
        <w:t xml:space="preserve">. Whereas the Slovak court asked whether the list should be regarded as unlawful evidence which it “must refuse to admit” pursuant to Article 47(2) of the Charter, the Advocate General examined whether the list </w:t>
      </w:r>
      <w:r w:rsidR="00CF6980" w:rsidRPr="00AB3569">
        <w:rPr>
          <w:sz w:val="24"/>
          <w:szCs w:val="24"/>
          <w:lang w:val="en-US"/>
        </w:rPr>
        <w:t>“may be excluded as evidence”</w:t>
      </w:r>
      <w:r w:rsidR="009A751A" w:rsidRPr="00AB3569">
        <w:rPr>
          <w:sz w:val="24"/>
          <w:szCs w:val="24"/>
          <w:lang w:val="en-US"/>
        </w:rPr>
        <w:t xml:space="preserve"> </w:t>
      </w:r>
      <w:r w:rsidR="00692469" w:rsidRPr="00AB3569">
        <w:rPr>
          <w:sz w:val="24"/>
          <w:szCs w:val="24"/>
          <w:lang w:val="en-US"/>
        </w:rPr>
        <w:t>without infringing upon the principle of effective judicial protection.</w:t>
      </w:r>
      <w:r w:rsidR="00C246BD" w:rsidRPr="00AB3569">
        <w:rPr>
          <w:rStyle w:val="FootnoteReference"/>
          <w:sz w:val="24"/>
          <w:szCs w:val="24"/>
          <w:lang w:val="en-US"/>
        </w:rPr>
        <w:footnoteReference w:id="22"/>
      </w:r>
      <w:r w:rsidR="00692469" w:rsidRPr="00AB3569">
        <w:rPr>
          <w:sz w:val="24"/>
          <w:szCs w:val="24"/>
          <w:lang w:val="en-US"/>
        </w:rPr>
        <w:t xml:space="preserve"> </w:t>
      </w:r>
      <w:r w:rsidR="009A751A" w:rsidRPr="00AB3569">
        <w:rPr>
          <w:sz w:val="24"/>
          <w:szCs w:val="24"/>
          <w:lang w:val="en-US"/>
        </w:rPr>
        <w:t xml:space="preserve">Hence, rather than </w:t>
      </w:r>
      <w:r w:rsidR="00AC1C34" w:rsidRPr="00AB3569">
        <w:rPr>
          <w:sz w:val="24"/>
          <w:szCs w:val="24"/>
          <w:lang w:val="en-US"/>
        </w:rPr>
        <w:t xml:space="preserve">examining </w:t>
      </w:r>
      <w:r w:rsidR="009A751A" w:rsidRPr="00AB3569">
        <w:rPr>
          <w:sz w:val="24"/>
          <w:szCs w:val="24"/>
          <w:lang w:val="en-US"/>
        </w:rPr>
        <w:t xml:space="preserve">whether a Member State is </w:t>
      </w:r>
      <w:r w:rsidR="009A751A" w:rsidRPr="00AB3569">
        <w:rPr>
          <w:i/>
          <w:sz w:val="24"/>
          <w:szCs w:val="24"/>
          <w:lang w:val="en-US"/>
        </w:rPr>
        <w:t xml:space="preserve">obliged </w:t>
      </w:r>
      <w:r w:rsidR="009A751A" w:rsidRPr="00AB3569">
        <w:rPr>
          <w:sz w:val="24"/>
          <w:szCs w:val="24"/>
          <w:lang w:val="en-US"/>
        </w:rPr>
        <w:t xml:space="preserve">to exclude the list, she examined </w:t>
      </w:r>
      <w:r w:rsidR="00AC1C34" w:rsidRPr="00AB3569">
        <w:rPr>
          <w:sz w:val="24"/>
          <w:szCs w:val="24"/>
          <w:lang w:val="en-US"/>
        </w:rPr>
        <w:t>whether Union l</w:t>
      </w:r>
      <w:r w:rsidR="009A751A" w:rsidRPr="00AB3569">
        <w:rPr>
          <w:sz w:val="24"/>
          <w:szCs w:val="24"/>
          <w:lang w:val="en-US"/>
        </w:rPr>
        <w:t xml:space="preserve">aw </w:t>
      </w:r>
      <w:r w:rsidR="009A751A" w:rsidRPr="00AB3569">
        <w:rPr>
          <w:i/>
          <w:sz w:val="24"/>
          <w:szCs w:val="24"/>
          <w:lang w:val="en-US"/>
        </w:rPr>
        <w:t>prevents</w:t>
      </w:r>
      <w:r w:rsidR="009A751A" w:rsidRPr="00AB3569">
        <w:rPr>
          <w:sz w:val="24"/>
          <w:szCs w:val="24"/>
          <w:lang w:val="en-US"/>
        </w:rPr>
        <w:t xml:space="preserve"> a Member State from such exclusion. The Advocate General thereby p</w:t>
      </w:r>
      <w:r w:rsidR="00F43861" w:rsidRPr="00AB3569">
        <w:rPr>
          <w:sz w:val="24"/>
          <w:szCs w:val="24"/>
          <w:lang w:val="en-US"/>
        </w:rPr>
        <w:t>laces emphasis</w:t>
      </w:r>
      <w:r w:rsidR="00AC1C34" w:rsidRPr="00AB3569">
        <w:rPr>
          <w:sz w:val="24"/>
          <w:szCs w:val="24"/>
          <w:lang w:val="en-US"/>
        </w:rPr>
        <w:t xml:space="preserve"> on the effective judicial protection of the </w:t>
      </w:r>
      <w:r w:rsidR="000057E3" w:rsidRPr="00AB3569">
        <w:rPr>
          <w:sz w:val="24"/>
          <w:szCs w:val="24"/>
          <w:lang w:val="en-US"/>
        </w:rPr>
        <w:t>data subject’s</w:t>
      </w:r>
      <w:r w:rsidR="009A751A" w:rsidRPr="00AB3569">
        <w:rPr>
          <w:sz w:val="24"/>
          <w:szCs w:val="24"/>
          <w:lang w:val="en-US"/>
        </w:rPr>
        <w:t xml:space="preserve"> rights, rather than</w:t>
      </w:r>
      <w:r w:rsidR="00AC1C34" w:rsidRPr="00AB3569">
        <w:rPr>
          <w:sz w:val="24"/>
          <w:szCs w:val="24"/>
          <w:lang w:val="en-US"/>
        </w:rPr>
        <w:t xml:space="preserve"> the right to a fair trial of the tax authorities.</w:t>
      </w:r>
      <w:r w:rsidR="007254B3" w:rsidRPr="00AB3569">
        <w:rPr>
          <w:rStyle w:val="FootnoteReference"/>
          <w:sz w:val="24"/>
          <w:szCs w:val="24"/>
          <w:lang w:val="en-US"/>
        </w:rPr>
        <w:footnoteReference w:id="23"/>
      </w:r>
    </w:p>
    <w:p w14:paraId="61A7452D" w14:textId="1E22368E" w:rsidR="00684D3C" w:rsidRPr="00AB3569" w:rsidRDefault="009A751A" w:rsidP="00684D3C">
      <w:pPr>
        <w:rPr>
          <w:sz w:val="24"/>
          <w:szCs w:val="24"/>
          <w:lang w:val="en-US"/>
        </w:rPr>
      </w:pPr>
      <w:r w:rsidRPr="00AB3569">
        <w:rPr>
          <w:sz w:val="24"/>
          <w:szCs w:val="24"/>
          <w:lang w:val="en-US"/>
        </w:rPr>
        <w:t xml:space="preserve">She </w:t>
      </w:r>
      <w:r w:rsidR="00684D3C" w:rsidRPr="00AB3569">
        <w:rPr>
          <w:sz w:val="24"/>
          <w:szCs w:val="24"/>
          <w:lang w:val="en-US"/>
        </w:rPr>
        <w:t>noted that a restriction on the evidence admissible in order to prove a breach of Union law interferes with the right to effectiv</w:t>
      </w:r>
      <w:r w:rsidR="00FF0DE3" w:rsidRPr="00AB3569">
        <w:rPr>
          <w:sz w:val="24"/>
          <w:szCs w:val="24"/>
          <w:lang w:val="en-US"/>
        </w:rPr>
        <w:t>e judicial protection.</w:t>
      </w:r>
      <w:r w:rsidR="007A04AA" w:rsidRPr="00AB3569">
        <w:rPr>
          <w:rStyle w:val="FootnoteReference"/>
          <w:sz w:val="24"/>
          <w:szCs w:val="24"/>
          <w:lang w:val="en-US"/>
        </w:rPr>
        <w:footnoteReference w:id="24"/>
      </w:r>
      <w:r w:rsidR="00FF0DE3" w:rsidRPr="00AB3569">
        <w:rPr>
          <w:sz w:val="24"/>
          <w:szCs w:val="24"/>
          <w:lang w:val="en-US"/>
        </w:rPr>
        <w:t xml:space="preserve"> She turned</w:t>
      </w:r>
      <w:r w:rsidR="00684D3C" w:rsidRPr="00AB3569">
        <w:rPr>
          <w:sz w:val="24"/>
          <w:szCs w:val="24"/>
          <w:lang w:val="en-US"/>
        </w:rPr>
        <w:t xml:space="preserve"> to ex</w:t>
      </w:r>
      <w:r w:rsidR="00FF0DE3" w:rsidRPr="00AB3569">
        <w:rPr>
          <w:sz w:val="24"/>
          <w:szCs w:val="24"/>
          <w:lang w:val="en-US"/>
        </w:rPr>
        <w:t>amine whether the restriction was</w:t>
      </w:r>
      <w:r w:rsidR="00684D3C" w:rsidRPr="00AB3569">
        <w:rPr>
          <w:sz w:val="24"/>
          <w:szCs w:val="24"/>
          <w:lang w:val="en-US"/>
        </w:rPr>
        <w:t xml:space="preserve"> justified pursuant to Article 52(1), stating laconically that the essence of the right was not undermined, since “onl</w:t>
      </w:r>
      <w:r w:rsidR="008160CD" w:rsidRPr="00AB3569">
        <w:rPr>
          <w:sz w:val="24"/>
          <w:szCs w:val="24"/>
          <w:lang w:val="en-US"/>
        </w:rPr>
        <w:t>y potential evidence” was</w:t>
      </w:r>
      <w:r w:rsidR="00684D3C" w:rsidRPr="00AB3569">
        <w:rPr>
          <w:sz w:val="24"/>
          <w:szCs w:val="24"/>
          <w:lang w:val="en-US"/>
        </w:rPr>
        <w:t xml:space="preserve"> affected.</w:t>
      </w:r>
      <w:r w:rsidR="00FA04B7" w:rsidRPr="00AB3569">
        <w:rPr>
          <w:rStyle w:val="FootnoteReference"/>
          <w:sz w:val="24"/>
          <w:szCs w:val="24"/>
          <w:lang w:val="en-US"/>
        </w:rPr>
        <w:footnoteReference w:id="25"/>
      </w:r>
      <w:r w:rsidR="00684D3C" w:rsidRPr="00AB3569">
        <w:rPr>
          <w:sz w:val="24"/>
          <w:szCs w:val="24"/>
          <w:lang w:val="en-US"/>
        </w:rPr>
        <w:t xml:space="preserve"> The objective of preventing unauthori</w:t>
      </w:r>
      <w:r w:rsidR="00B631CB" w:rsidRPr="00AB3569">
        <w:rPr>
          <w:sz w:val="24"/>
          <w:szCs w:val="24"/>
          <w:lang w:val="en-US"/>
        </w:rPr>
        <w:t>z</w:t>
      </w:r>
      <w:r w:rsidR="00684D3C" w:rsidRPr="00AB3569">
        <w:rPr>
          <w:sz w:val="24"/>
          <w:szCs w:val="24"/>
          <w:lang w:val="en-US"/>
        </w:rPr>
        <w:t xml:space="preserve">ed use of internal documents </w:t>
      </w:r>
      <w:r w:rsidR="00F02F04" w:rsidRPr="00AB3569">
        <w:rPr>
          <w:sz w:val="24"/>
          <w:szCs w:val="24"/>
          <w:lang w:val="en-US"/>
        </w:rPr>
        <w:t xml:space="preserve">in court proceedings </w:t>
      </w:r>
      <w:r w:rsidR="00684D3C" w:rsidRPr="00AB3569">
        <w:rPr>
          <w:sz w:val="24"/>
          <w:szCs w:val="24"/>
          <w:lang w:val="en-US"/>
        </w:rPr>
        <w:t>was</w:t>
      </w:r>
      <w:r w:rsidR="00730A78" w:rsidRPr="00AB3569">
        <w:rPr>
          <w:sz w:val="24"/>
          <w:szCs w:val="24"/>
          <w:lang w:val="en-US"/>
        </w:rPr>
        <w:t xml:space="preserve"> found to be</w:t>
      </w:r>
      <w:r w:rsidR="00684D3C" w:rsidRPr="00AB3569">
        <w:rPr>
          <w:sz w:val="24"/>
          <w:szCs w:val="24"/>
          <w:lang w:val="en-US"/>
        </w:rPr>
        <w:t xml:space="preserve"> legitimate, and the restriction in question was </w:t>
      </w:r>
      <w:r w:rsidR="00506CB7" w:rsidRPr="00AB3569">
        <w:rPr>
          <w:sz w:val="24"/>
          <w:szCs w:val="24"/>
          <w:lang w:val="en-US"/>
        </w:rPr>
        <w:t xml:space="preserve">considered </w:t>
      </w:r>
      <w:r w:rsidR="00684D3C" w:rsidRPr="00AB3569">
        <w:rPr>
          <w:sz w:val="24"/>
          <w:szCs w:val="24"/>
          <w:lang w:val="en-US"/>
        </w:rPr>
        <w:t>appropriate to achieve this objective.</w:t>
      </w:r>
      <w:r w:rsidR="00E33EAC" w:rsidRPr="00AB3569">
        <w:rPr>
          <w:rStyle w:val="FootnoteReference"/>
          <w:sz w:val="24"/>
          <w:szCs w:val="24"/>
          <w:lang w:val="en-US"/>
        </w:rPr>
        <w:footnoteReference w:id="26"/>
      </w:r>
      <w:r w:rsidR="00684D3C" w:rsidRPr="00AB3569">
        <w:rPr>
          <w:sz w:val="24"/>
          <w:szCs w:val="24"/>
          <w:lang w:val="en-US"/>
        </w:rPr>
        <w:t xml:space="preserve"> Nevertheless, she </w:t>
      </w:r>
      <w:r w:rsidR="00506CB7" w:rsidRPr="00AB3569">
        <w:rPr>
          <w:sz w:val="24"/>
          <w:szCs w:val="24"/>
          <w:lang w:val="en-US"/>
        </w:rPr>
        <w:t>stated</w:t>
      </w:r>
      <w:r w:rsidR="00455740" w:rsidRPr="00AB3569">
        <w:rPr>
          <w:sz w:val="24"/>
          <w:szCs w:val="24"/>
          <w:lang w:val="en-US"/>
        </w:rPr>
        <w:t xml:space="preserve"> that </w:t>
      </w:r>
      <w:r w:rsidR="00684D3C" w:rsidRPr="00AB3569">
        <w:rPr>
          <w:sz w:val="24"/>
          <w:szCs w:val="24"/>
          <w:lang w:val="en-US"/>
        </w:rPr>
        <w:t xml:space="preserve">an unconditional rejection of such evidence was </w:t>
      </w:r>
      <w:r w:rsidR="00455740" w:rsidRPr="00AB3569">
        <w:rPr>
          <w:sz w:val="24"/>
          <w:szCs w:val="24"/>
          <w:lang w:val="en-US"/>
        </w:rPr>
        <w:t xml:space="preserve">not </w:t>
      </w:r>
      <w:r w:rsidR="00684D3C" w:rsidRPr="00AB3569">
        <w:rPr>
          <w:sz w:val="24"/>
          <w:szCs w:val="24"/>
          <w:lang w:val="en-US"/>
        </w:rPr>
        <w:t>the least onerous method; rather the referring court should determine whether the affected person had a right of access to the relevant information, in which case the interest in preventing unauthori</w:t>
      </w:r>
      <w:r w:rsidR="00B631CB" w:rsidRPr="00AB3569">
        <w:rPr>
          <w:sz w:val="24"/>
          <w:szCs w:val="24"/>
          <w:lang w:val="en-US"/>
        </w:rPr>
        <w:t>z</w:t>
      </w:r>
      <w:r w:rsidR="00684D3C" w:rsidRPr="00AB3569">
        <w:rPr>
          <w:sz w:val="24"/>
          <w:szCs w:val="24"/>
          <w:lang w:val="en-US"/>
        </w:rPr>
        <w:t>ed use would no longer merit protection.</w:t>
      </w:r>
      <w:r w:rsidR="00684D3C" w:rsidRPr="00AB3569">
        <w:rPr>
          <w:rStyle w:val="FootnoteReference"/>
          <w:sz w:val="24"/>
          <w:szCs w:val="24"/>
          <w:lang w:val="en-US"/>
        </w:rPr>
        <w:footnoteReference w:id="27"/>
      </w:r>
      <w:r w:rsidR="00F83517" w:rsidRPr="00AB3569">
        <w:rPr>
          <w:sz w:val="24"/>
          <w:szCs w:val="24"/>
          <w:lang w:val="en-US"/>
        </w:rPr>
        <w:t xml:space="preserve"> </w:t>
      </w:r>
    </w:p>
    <w:p w14:paraId="6915C13D" w14:textId="43EB91BA" w:rsidR="00307924" w:rsidRPr="00AB3569" w:rsidRDefault="00816C6D" w:rsidP="00684D3C">
      <w:pPr>
        <w:rPr>
          <w:sz w:val="24"/>
          <w:szCs w:val="24"/>
          <w:lang w:val="en-US"/>
        </w:rPr>
      </w:pPr>
      <w:r w:rsidRPr="00AB3569">
        <w:rPr>
          <w:sz w:val="24"/>
          <w:szCs w:val="24"/>
          <w:lang w:val="en-US"/>
        </w:rPr>
        <w:t>The conclusions reached by the Advocate General under t</w:t>
      </w:r>
      <w:r w:rsidR="00684D3C" w:rsidRPr="00AB3569">
        <w:rPr>
          <w:sz w:val="24"/>
          <w:szCs w:val="24"/>
          <w:lang w:val="en-US"/>
        </w:rPr>
        <w:t xml:space="preserve">he </w:t>
      </w:r>
      <w:r w:rsidRPr="00AB3569">
        <w:rPr>
          <w:sz w:val="24"/>
          <w:szCs w:val="24"/>
          <w:lang w:val="en-US"/>
        </w:rPr>
        <w:t>second question, pertaining to the lawfulness of the list, do not merit a separate presentation, as the</w:t>
      </w:r>
      <w:r w:rsidR="009A4D37" w:rsidRPr="00AB3569">
        <w:rPr>
          <w:sz w:val="24"/>
          <w:szCs w:val="24"/>
          <w:lang w:val="en-US"/>
        </w:rPr>
        <w:t>y</w:t>
      </w:r>
      <w:r w:rsidRPr="00AB3569">
        <w:rPr>
          <w:sz w:val="24"/>
          <w:szCs w:val="24"/>
          <w:lang w:val="en-US"/>
        </w:rPr>
        <w:t xml:space="preserve"> are largely </w:t>
      </w:r>
      <w:r w:rsidR="00506CB7" w:rsidRPr="00AB3569">
        <w:rPr>
          <w:sz w:val="24"/>
          <w:szCs w:val="24"/>
          <w:lang w:val="en-US"/>
        </w:rPr>
        <w:t xml:space="preserve">in line </w:t>
      </w:r>
      <w:r w:rsidRPr="00AB3569">
        <w:rPr>
          <w:sz w:val="24"/>
          <w:szCs w:val="24"/>
          <w:lang w:val="en-US"/>
        </w:rPr>
        <w:t xml:space="preserve">with those of </w:t>
      </w:r>
      <w:r w:rsidR="007C4F9C" w:rsidRPr="00AB3569">
        <w:rPr>
          <w:sz w:val="24"/>
          <w:szCs w:val="24"/>
          <w:lang w:val="en-US"/>
        </w:rPr>
        <w:t xml:space="preserve">the </w:t>
      </w:r>
      <w:r w:rsidRPr="00AB3569">
        <w:rPr>
          <w:sz w:val="24"/>
          <w:szCs w:val="24"/>
          <w:lang w:val="en-US"/>
        </w:rPr>
        <w:t>Court.</w:t>
      </w:r>
      <w:r w:rsidR="00455740" w:rsidRPr="00AB3569">
        <w:rPr>
          <w:sz w:val="24"/>
          <w:szCs w:val="24"/>
          <w:lang w:val="en-US"/>
        </w:rPr>
        <w:t xml:space="preserve"> </w:t>
      </w:r>
      <w:r w:rsidR="00684D3C" w:rsidRPr="00AB3569">
        <w:rPr>
          <w:sz w:val="24"/>
          <w:szCs w:val="24"/>
          <w:lang w:val="en-US"/>
        </w:rPr>
        <w:t xml:space="preserve">The Advocate General expressed doubts as to the relevance of the last question referred – pertaining to the handling of conflicting case law from the </w:t>
      </w:r>
      <w:r w:rsidR="007B6D4B" w:rsidRPr="00AB3569">
        <w:rPr>
          <w:sz w:val="24"/>
          <w:szCs w:val="24"/>
          <w:lang w:val="en-US"/>
        </w:rPr>
        <w:t>ECJ</w:t>
      </w:r>
      <w:r w:rsidR="00684D3C" w:rsidRPr="00AB3569">
        <w:rPr>
          <w:sz w:val="24"/>
          <w:szCs w:val="24"/>
          <w:lang w:val="en-US"/>
        </w:rPr>
        <w:t xml:space="preserve"> and the </w:t>
      </w:r>
      <w:r w:rsidR="00455740" w:rsidRPr="00AB3569">
        <w:rPr>
          <w:sz w:val="24"/>
          <w:szCs w:val="24"/>
          <w:lang w:val="en-US"/>
        </w:rPr>
        <w:t>EC</w:t>
      </w:r>
      <w:r w:rsidR="00684D3C" w:rsidRPr="00AB3569">
        <w:rPr>
          <w:sz w:val="24"/>
          <w:szCs w:val="24"/>
          <w:lang w:val="en-US"/>
        </w:rPr>
        <w:t xml:space="preserve">tHR </w:t>
      </w:r>
      <w:r w:rsidR="00F02F04" w:rsidRPr="00AB3569">
        <w:rPr>
          <w:sz w:val="24"/>
          <w:szCs w:val="24"/>
          <w:lang w:val="en-US"/>
        </w:rPr>
        <w:t xml:space="preserve">on corresponding rights </w:t>
      </w:r>
      <w:r w:rsidR="00684D3C" w:rsidRPr="00AB3569">
        <w:rPr>
          <w:sz w:val="24"/>
          <w:szCs w:val="24"/>
          <w:lang w:val="en-US"/>
        </w:rPr>
        <w:t xml:space="preserve">– but nevertheless provided an answer. She noted that pursuant to Article 52(3) of the Charter, the Court </w:t>
      </w:r>
      <w:r w:rsidR="007C4F9C" w:rsidRPr="00AB3569">
        <w:rPr>
          <w:sz w:val="24"/>
          <w:szCs w:val="24"/>
          <w:lang w:val="en-US"/>
        </w:rPr>
        <w:t xml:space="preserve">is </w:t>
      </w:r>
      <w:r w:rsidR="00684D3C" w:rsidRPr="00AB3569">
        <w:rPr>
          <w:sz w:val="24"/>
          <w:szCs w:val="24"/>
          <w:lang w:val="en-US"/>
        </w:rPr>
        <w:t>permitted to accord more extensive protection to Charter rights</w:t>
      </w:r>
      <w:r w:rsidR="00CF4FFE" w:rsidRPr="00AB3569">
        <w:rPr>
          <w:sz w:val="24"/>
          <w:szCs w:val="24"/>
          <w:lang w:val="en-US"/>
        </w:rPr>
        <w:t xml:space="preserve"> than their counterparts in the European Convention on Human Rights</w:t>
      </w:r>
      <w:r w:rsidR="00730A78" w:rsidRPr="00AB3569">
        <w:rPr>
          <w:sz w:val="24"/>
          <w:szCs w:val="24"/>
          <w:lang w:val="en-US"/>
        </w:rPr>
        <w:t>. Thus, whe</w:t>
      </w:r>
      <w:r w:rsidR="00684D3C" w:rsidRPr="00AB3569">
        <w:rPr>
          <w:sz w:val="24"/>
          <w:szCs w:val="24"/>
          <w:lang w:val="en-US"/>
        </w:rPr>
        <w:t xml:space="preserve">n the case law of the </w:t>
      </w:r>
      <w:r w:rsidR="007B6D4B" w:rsidRPr="00AB3569">
        <w:rPr>
          <w:sz w:val="24"/>
          <w:szCs w:val="24"/>
          <w:lang w:val="en-US"/>
        </w:rPr>
        <w:t>ECJ</w:t>
      </w:r>
      <w:r w:rsidR="00684D3C" w:rsidRPr="00AB3569">
        <w:rPr>
          <w:sz w:val="24"/>
          <w:szCs w:val="24"/>
          <w:lang w:val="en-US"/>
        </w:rPr>
        <w:t xml:space="preserve"> affords a higher level of protection, the national courts should apply this jurisprudence directly. Conversely, if the case law of the </w:t>
      </w:r>
      <w:r w:rsidR="00CF4FFE" w:rsidRPr="00AB3569">
        <w:rPr>
          <w:sz w:val="24"/>
          <w:szCs w:val="24"/>
          <w:lang w:val="en-US"/>
        </w:rPr>
        <w:t>EC</w:t>
      </w:r>
      <w:r w:rsidR="00684D3C" w:rsidRPr="00AB3569">
        <w:rPr>
          <w:sz w:val="24"/>
          <w:szCs w:val="24"/>
          <w:lang w:val="en-US"/>
        </w:rPr>
        <w:t>tHR affords enhanced protection</w:t>
      </w:r>
      <w:r w:rsidR="00CF4FFE" w:rsidRPr="00AB3569">
        <w:rPr>
          <w:sz w:val="24"/>
          <w:szCs w:val="24"/>
          <w:lang w:val="en-US"/>
        </w:rPr>
        <w:t xml:space="preserve"> </w:t>
      </w:r>
      <w:r w:rsidR="00DD4362" w:rsidRPr="00AB3569">
        <w:rPr>
          <w:sz w:val="24"/>
          <w:szCs w:val="24"/>
          <w:lang w:val="en-US"/>
        </w:rPr>
        <w:t xml:space="preserve">of </w:t>
      </w:r>
      <w:r w:rsidR="00CF4FFE" w:rsidRPr="00AB3569">
        <w:rPr>
          <w:sz w:val="24"/>
          <w:szCs w:val="24"/>
          <w:lang w:val="en-US"/>
        </w:rPr>
        <w:t>Convention rights</w:t>
      </w:r>
      <w:r w:rsidR="00684D3C" w:rsidRPr="00AB3569">
        <w:rPr>
          <w:sz w:val="24"/>
          <w:szCs w:val="24"/>
          <w:lang w:val="en-US"/>
        </w:rPr>
        <w:t xml:space="preserve">, the national court should seek guidance from the </w:t>
      </w:r>
      <w:r w:rsidR="007B6D4B" w:rsidRPr="00AB3569">
        <w:rPr>
          <w:sz w:val="24"/>
          <w:szCs w:val="24"/>
          <w:lang w:val="en-US"/>
        </w:rPr>
        <w:t>ECJ</w:t>
      </w:r>
      <w:r w:rsidR="00684D3C" w:rsidRPr="00AB3569">
        <w:rPr>
          <w:sz w:val="24"/>
          <w:szCs w:val="24"/>
          <w:lang w:val="en-US"/>
        </w:rPr>
        <w:t xml:space="preserve"> pursuant to Article 267 TFEU.</w:t>
      </w:r>
      <w:r w:rsidR="00455740" w:rsidRPr="00AB3569">
        <w:rPr>
          <w:rStyle w:val="FootnoteReference"/>
          <w:sz w:val="24"/>
          <w:szCs w:val="24"/>
          <w:lang w:val="en-US"/>
        </w:rPr>
        <w:footnoteReference w:id="28"/>
      </w:r>
      <w:r w:rsidR="00684D3C" w:rsidRPr="00AB3569">
        <w:rPr>
          <w:sz w:val="24"/>
          <w:szCs w:val="24"/>
          <w:lang w:val="en-US"/>
        </w:rPr>
        <w:t xml:space="preserve"> </w:t>
      </w:r>
    </w:p>
    <w:p w14:paraId="02A31E9A" w14:textId="77777777" w:rsidR="0026715C" w:rsidRPr="00AB3569" w:rsidRDefault="0026715C" w:rsidP="00684D3C">
      <w:pPr>
        <w:rPr>
          <w:sz w:val="24"/>
          <w:szCs w:val="24"/>
          <w:lang w:val="en-US"/>
        </w:rPr>
      </w:pPr>
    </w:p>
    <w:p w14:paraId="46D99A77" w14:textId="4271BFC1" w:rsidR="00684D3C" w:rsidRPr="00AB3569" w:rsidRDefault="00C55260" w:rsidP="00196519">
      <w:pPr>
        <w:pStyle w:val="ListParagraph"/>
        <w:numPr>
          <w:ilvl w:val="0"/>
          <w:numId w:val="1"/>
        </w:numPr>
        <w:rPr>
          <w:b/>
          <w:sz w:val="24"/>
          <w:szCs w:val="24"/>
          <w:lang w:val="en-US"/>
        </w:rPr>
      </w:pPr>
      <w:r w:rsidRPr="00AB3569">
        <w:rPr>
          <w:b/>
          <w:sz w:val="24"/>
          <w:szCs w:val="24"/>
          <w:lang w:val="en-US"/>
        </w:rPr>
        <w:t>Judgment</w:t>
      </w:r>
      <w:r w:rsidR="00CB6513" w:rsidRPr="00AB3569">
        <w:rPr>
          <w:b/>
          <w:sz w:val="24"/>
          <w:szCs w:val="24"/>
          <w:lang w:val="en-US"/>
        </w:rPr>
        <w:t xml:space="preserve"> of the Court</w:t>
      </w:r>
      <w:r w:rsidRPr="00AB3569">
        <w:rPr>
          <w:b/>
          <w:sz w:val="24"/>
          <w:szCs w:val="24"/>
          <w:lang w:val="en-US"/>
        </w:rPr>
        <w:t xml:space="preserve"> </w:t>
      </w:r>
    </w:p>
    <w:p w14:paraId="25079AA1" w14:textId="77777777" w:rsidR="00684D3C" w:rsidRPr="00AB3569" w:rsidRDefault="00E00A20" w:rsidP="00684D3C">
      <w:pPr>
        <w:rPr>
          <w:sz w:val="24"/>
          <w:szCs w:val="24"/>
          <w:lang w:val="en-US"/>
        </w:rPr>
      </w:pPr>
      <w:r w:rsidRPr="00AB3569">
        <w:rPr>
          <w:sz w:val="24"/>
          <w:szCs w:val="24"/>
          <w:lang w:val="en-US"/>
        </w:rPr>
        <w:t xml:space="preserve">It its judgment, the </w:t>
      </w:r>
      <w:r w:rsidR="007B6D4B" w:rsidRPr="00AB3569">
        <w:rPr>
          <w:sz w:val="24"/>
          <w:szCs w:val="24"/>
          <w:lang w:val="en-US"/>
        </w:rPr>
        <w:t>ECJ</w:t>
      </w:r>
      <w:r w:rsidRPr="00AB3569">
        <w:rPr>
          <w:sz w:val="24"/>
          <w:szCs w:val="24"/>
          <w:lang w:val="en-US"/>
        </w:rPr>
        <w:t xml:space="preserve"> largely followed the opinion of Advocate General Kokott. The fourth question </w:t>
      </w:r>
      <w:r w:rsidR="00553DFC" w:rsidRPr="00AB3569">
        <w:rPr>
          <w:sz w:val="24"/>
          <w:szCs w:val="24"/>
          <w:lang w:val="en-US"/>
        </w:rPr>
        <w:t xml:space="preserve">pertaining to conflicting case law from the </w:t>
      </w:r>
      <w:r w:rsidR="007B6D4B" w:rsidRPr="00AB3569">
        <w:rPr>
          <w:sz w:val="24"/>
          <w:szCs w:val="24"/>
          <w:lang w:val="en-US"/>
        </w:rPr>
        <w:t>ECJ</w:t>
      </w:r>
      <w:r w:rsidR="00553DFC" w:rsidRPr="00AB3569">
        <w:rPr>
          <w:sz w:val="24"/>
          <w:szCs w:val="24"/>
          <w:lang w:val="en-US"/>
        </w:rPr>
        <w:t xml:space="preserve"> and the ECtHR </w:t>
      </w:r>
      <w:r w:rsidRPr="00AB3569">
        <w:rPr>
          <w:sz w:val="24"/>
          <w:szCs w:val="24"/>
          <w:lang w:val="en-US"/>
        </w:rPr>
        <w:t>was found inadmissible, however</w:t>
      </w:r>
      <w:r w:rsidR="00684D3C" w:rsidRPr="00AB3569">
        <w:rPr>
          <w:sz w:val="24"/>
          <w:szCs w:val="24"/>
          <w:lang w:val="en-US"/>
        </w:rPr>
        <w:t>, due to its hypothetical nature.</w:t>
      </w:r>
      <w:r w:rsidR="00684D3C" w:rsidRPr="00AB3569">
        <w:rPr>
          <w:rStyle w:val="FootnoteReference"/>
          <w:sz w:val="24"/>
          <w:szCs w:val="24"/>
          <w:lang w:val="en-US"/>
        </w:rPr>
        <w:footnoteReference w:id="29"/>
      </w:r>
      <w:r w:rsidRPr="00AB3569">
        <w:rPr>
          <w:sz w:val="24"/>
          <w:szCs w:val="24"/>
          <w:lang w:val="en-US"/>
        </w:rPr>
        <w:t xml:space="preserve"> </w:t>
      </w:r>
    </w:p>
    <w:p w14:paraId="4BFE3EC4" w14:textId="55864046" w:rsidR="006A2320" w:rsidRPr="00AB3569" w:rsidRDefault="00FF0DE3" w:rsidP="00684D3C">
      <w:pPr>
        <w:rPr>
          <w:sz w:val="24"/>
          <w:szCs w:val="24"/>
          <w:lang w:val="en-US"/>
        </w:rPr>
      </w:pPr>
      <w:r w:rsidRPr="00AB3569">
        <w:rPr>
          <w:sz w:val="24"/>
          <w:szCs w:val="24"/>
          <w:lang w:val="en-US"/>
        </w:rPr>
        <w:t>The Court started</w:t>
      </w:r>
      <w:r w:rsidR="00684D3C" w:rsidRPr="00AB3569">
        <w:rPr>
          <w:sz w:val="24"/>
          <w:szCs w:val="24"/>
          <w:lang w:val="en-US"/>
        </w:rPr>
        <w:t xml:space="preserve"> by examining the Union law compatibility of the obligation to exhaust administrative remedies before seizing the court. After noting that Article 22 of the Directive is silen</w:t>
      </w:r>
      <w:r w:rsidRPr="00AB3569">
        <w:rPr>
          <w:sz w:val="24"/>
          <w:szCs w:val="24"/>
          <w:lang w:val="en-US"/>
        </w:rPr>
        <w:t>t on the matter, the Court turned</w:t>
      </w:r>
      <w:r w:rsidR="00684D3C" w:rsidRPr="00AB3569">
        <w:rPr>
          <w:sz w:val="24"/>
          <w:szCs w:val="24"/>
          <w:lang w:val="en-US"/>
        </w:rPr>
        <w:t xml:space="preserve"> to examine whether Article 47 of the Charter precludes a Member State from imposing such a procedural requirement.</w:t>
      </w:r>
      <w:r w:rsidR="0005198D" w:rsidRPr="00AB3569">
        <w:rPr>
          <w:rStyle w:val="FootnoteReference"/>
          <w:sz w:val="24"/>
          <w:szCs w:val="24"/>
          <w:lang w:val="en-US"/>
        </w:rPr>
        <w:footnoteReference w:id="30"/>
      </w:r>
      <w:r w:rsidR="00684D3C" w:rsidRPr="00AB3569">
        <w:rPr>
          <w:sz w:val="24"/>
          <w:szCs w:val="24"/>
          <w:lang w:val="en-US"/>
        </w:rPr>
        <w:t xml:space="preserve"> Regrettably, the Court did not respond to the Advocate General’s call to express itself in unequivocal terms as to the relationship between the right to effective judicial protection and the principle of effectiveness. It observed that pur</w:t>
      </w:r>
      <w:r w:rsidR="003A1D30" w:rsidRPr="00AB3569">
        <w:rPr>
          <w:sz w:val="24"/>
          <w:szCs w:val="24"/>
          <w:lang w:val="en-US"/>
        </w:rPr>
        <w:t>s</w:t>
      </w:r>
      <w:r w:rsidR="00684D3C" w:rsidRPr="00AB3569">
        <w:rPr>
          <w:sz w:val="24"/>
          <w:szCs w:val="24"/>
          <w:lang w:val="en-US"/>
        </w:rPr>
        <w:t>uant to Article 4(3) TEU and Article 19(1), Member States must ensure effective judicial protection of Union rights and provide adequate remedies, and stated the view that this requirement corresponds to the right enshrined in Article 47 of the Charter.</w:t>
      </w:r>
      <w:r w:rsidR="0005198D" w:rsidRPr="00AB3569">
        <w:rPr>
          <w:rStyle w:val="FootnoteReference"/>
          <w:sz w:val="24"/>
          <w:szCs w:val="24"/>
          <w:lang w:val="en-US"/>
        </w:rPr>
        <w:footnoteReference w:id="31"/>
      </w:r>
      <w:r w:rsidR="00684D3C" w:rsidRPr="00AB3569">
        <w:rPr>
          <w:sz w:val="24"/>
          <w:szCs w:val="24"/>
          <w:lang w:val="en-US"/>
        </w:rPr>
        <w:t xml:space="preserve"> </w:t>
      </w:r>
      <w:r w:rsidR="00427FC4" w:rsidRPr="00AB3569">
        <w:rPr>
          <w:sz w:val="24"/>
          <w:szCs w:val="24"/>
          <w:lang w:val="en-US"/>
        </w:rPr>
        <w:t xml:space="preserve">The </w:t>
      </w:r>
      <w:r w:rsidR="00B81D86" w:rsidRPr="00AB3569">
        <w:rPr>
          <w:sz w:val="24"/>
          <w:szCs w:val="24"/>
          <w:lang w:val="en-US"/>
        </w:rPr>
        <w:t>ECJ</w:t>
      </w:r>
      <w:r w:rsidR="00427FC4" w:rsidRPr="00AB3569">
        <w:rPr>
          <w:sz w:val="24"/>
          <w:szCs w:val="24"/>
          <w:lang w:val="en-US"/>
        </w:rPr>
        <w:t xml:space="preserve"> made no mention of the principle of effectiveness, pursuant to which </w:t>
      </w:r>
      <w:r w:rsidR="00813480" w:rsidRPr="00AB3569">
        <w:rPr>
          <w:sz w:val="24"/>
          <w:szCs w:val="24"/>
          <w:lang w:val="en-US"/>
        </w:rPr>
        <w:t xml:space="preserve">national law must not render </w:t>
      </w:r>
      <w:r w:rsidR="00427FC4" w:rsidRPr="00AB3569">
        <w:rPr>
          <w:sz w:val="24"/>
          <w:szCs w:val="24"/>
          <w:lang w:val="en-US"/>
        </w:rPr>
        <w:t xml:space="preserve">the enforcement of EU law </w:t>
      </w:r>
      <w:r w:rsidR="00C748B1" w:rsidRPr="00AB3569">
        <w:rPr>
          <w:sz w:val="24"/>
          <w:szCs w:val="24"/>
          <w:lang w:val="en-US"/>
        </w:rPr>
        <w:t>practically</w:t>
      </w:r>
      <w:r w:rsidR="00813480" w:rsidRPr="00AB3569">
        <w:rPr>
          <w:sz w:val="24"/>
          <w:szCs w:val="24"/>
          <w:lang w:val="en-US"/>
        </w:rPr>
        <w:t xml:space="preserve"> </w:t>
      </w:r>
      <w:r w:rsidR="00427FC4" w:rsidRPr="00AB3569">
        <w:rPr>
          <w:sz w:val="24"/>
          <w:szCs w:val="24"/>
          <w:lang w:val="en-US"/>
        </w:rPr>
        <w:t>impossibl</w:t>
      </w:r>
      <w:r w:rsidR="00C54D76" w:rsidRPr="00AB3569">
        <w:rPr>
          <w:sz w:val="24"/>
          <w:szCs w:val="24"/>
          <w:lang w:val="en-US"/>
        </w:rPr>
        <w:t>e or excessively difficult</w:t>
      </w:r>
      <w:r w:rsidR="004C2724" w:rsidRPr="00AB3569">
        <w:rPr>
          <w:sz w:val="24"/>
          <w:szCs w:val="24"/>
          <w:lang w:val="en-US"/>
        </w:rPr>
        <w:t>, and consequently did not help clarify the relationship between this principle and that of effective judicial protection</w:t>
      </w:r>
      <w:r w:rsidR="006A2320" w:rsidRPr="00AB3569">
        <w:rPr>
          <w:sz w:val="24"/>
          <w:szCs w:val="24"/>
          <w:lang w:val="en-US"/>
        </w:rPr>
        <w:t>.</w:t>
      </w:r>
      <w:r w:rsidR="004C2724" w:rsidRPr="00AB3569">
        <w:rPr>
          <w:rStyle w:val="FootnoteReference"/>
          <w:sz w:val="24"/>
          <w:szCs w:val="24"/>
          <w:lang w:val="en-US"/>
        </w:rPr>
        <w:footnoteReference w:id="32"/>
      </w:r>
      <w:r w:rsidR="006A2320" w:rsidRPr="00AB3569">
        <w:rPr>
          <w:sz w:val="24"/>
          <w:szCs w:val="24"/>
          <w:lang w:val="en-US"/>
        </w:rPr>
        <w:t xml:space="preserve"> </w:t>
      </w:r>
      <w:r w:rsidR="00C777CC" w:rsidRPr="00AB3569">
        <w:rPr>
          <w:sz w:val="24"/>
          <w:szCs w:val="24"/>
          <w:lang w:val="en-US"/>
        </w:rPr>
        <w:t>T</w:t>
      </w:r>
      <w:r w:rsidR="00C54D76" w:rsidRPr="00AB3569">
        <w:rPr>
          <w:sz w:val="24"/>
          <w:szCs w:val="24"/>
          <w:lang w:val="en-US"/>
        </w:rPr>
        <w:t xml:space="preserve">he Advocate General’s </w:t>
      </w:r>
      <w:r w:rsidR="00474622" w:rsidRPr="00AB3569">
        <w:rPr>
          <w:sz w:val="24"/>
          <w:szCs w:val="24"/>
          <w:lang w:val="en-US"/>
        </w:rPr>
        <w:t>statement</w:t>
      </w:r>
      <w:r w:rsidR="0017200D" w:rsidRPr="00AB3569">
        <w:rPr>
          <w:sz w:val="24"/>
          <w:szCs w:val="24"/>
          <w:lang w:val="en-US"/>
        </w:rPr>
        <w:t xml:space="preserve"> </w:t>
      </w:r>
      <w:r w:rsidR="00B81D86" w:rsidRPr="00AB3569">
        <w:rPr>
          <w:sz w:val="24"/>
          <w:szCs w:val="24"/>
          <w:lang w:val="en-US"/>
        </w:rPr>
        <w:t xml:space="preserve">that </w:t>
      </w:r>
      <w:r w:rsidR="0017200D" w:rsidRPr="00AB3569">
        <w:rPr>
          <w:sz w:val="24"/>
          <w:szCs w:val="24"/>
          <w:lang w:val="en-US"/>
        </w:rPr>
        <w:t xml:space="preserve">the </w:t>
      </w:r>
      <w:r w:rsidR="004C2724" w:rsidRPr="00AB3569">
        <w:rPr>
          <w:sz w:val="24"/>
          <w:szCs w:val="24"/>
          <w:lang w:val="en-US"/>
        </w:rPr>
        <w:t xml:space="preserve">two </w:t>
      </w:r>
      <w:r w:rsidR="0017200D" w:rsidRPr="00AB3569">
        <w:rPr>
          <w:sz w:val="24"/>
          <w:szCs w:val="24"/>
          <w:lang w:val="en-US"/>
        </w:rPr>
        <w:t xml:space="preserve">principles </w:t>
      </w:r>
      <w:r w:rsidR="004C2724" w:rsidRPr="00AB3569">
        <w:rPr>
          <w:sz w:val="24"/>
          <w:szCs w:val="24"/>
          <w:lang w:val="en-US"/>
        </w:rPr>
        <w:t xml:space="preserve">“ultimately </w:t>
      </w:r>
      <w:r w:rsidR="0017200D" w:rsidRPr="00AB3569">
        <w:rPr>
          <w:sz w:val="24"/>
          <w:szCs w:val="24"/>
          <w:lang w:val="en-US"/>
        </w:rPr>
        <w:t>embody the same legal principle</w:t>
      </w:r>
      <w:r w:rsidR="00474622" w:rsidRPr="00AB3569">
        <w:rPr>
          <w:sz w:val="24"/>
          <w:szCs w:val="24"/>
          <w:lang w:val="en-US"/>
        </w:rPr>
        <w:t>”</w:t>
      </w:r>
      <w:r w:rsidR="0017200D" w:rsidRPr="00AB3569">
        <w:rPr>
          <w:sz w:val="24"/>
          <w:szCs w:val="24"/>
          <w:lang w:val="en-US"/>
        </w:rPr>
        <w:t xml:space="preserve"> was left unaddressed. </w:t>
      </w:r>
    </w:p>
    <w:p w14:paraId="08F533B6" w14:textId="6AFC6B5C" w:rsidR="00EC0191" w:rsidRPr="00AB3569" w:rsidRDefault="00684D3C" w:rsidP="00AF755B">
      <w:pPr>
        <w:rPr>
          <w:sz w:val="24"/>
          <w:szCs w:val="24"/>
          <w:lang w:val="en-US"/>
        </w:rPr>
      </w:pPr>
      <w:r w:rsidRPr="00AB3569">
        <w:rPr>
          <w:sz w:val="24"/>
          <w:szCs w:val="24"/>
          <w:lang w:val="en-US"/>
        </w:rPr>
        <w:t>The Court endorsed the view of the Advocate General that requiring the exhaustion of administrative remedies before seizing the court, constitutes a limitation on the rig</w:t>
      </w:r>
      <w:r w:rsidR="000D2FBD" w:rsidRPr="00AB3569">
        <w:rPr>
          <w:sz w:val="24"/>
          <w:szCs w:val="24"/>
          <w:lang w:val="en-US"/>
        </w:rPr>
        <w:t>ht to an effective legal remedy, since it would cause delay and possibly also extra costs.</w:t>
      </w:r>
      <w:r w:rsidR="00CC52BE" w:rsidRPr="00AB3569">
        <w:rPr>
          <w:rStyle w:val="FootnoteReference"/>
          <w:sz w:val="24"/>
          <w:szCs w:val="24"/>
          <w:lang w:val="en-US"/>
        </w:rPr>
        <w:footnoteReference w:id="33"/>
      </w:r>
      <w:r w:rsidRPr="00AB3569">
        <w:rPr>
          <w:sz w:val="24"/>
          <w:szCs w:val="24"/>
          <w:lang w:val="en-US"/>
        </w:rPr>
        <w:t xml:space="preserve"> </w:t>
      </w:r>
      <w:r w:rsidR="00C13700" w:rsidRPr="00AB3569">
        <w:rPr>
          <w:sz w:val="24"/>
          <w:szCs w:val="24"/>
          <w:lang w:val="en-US"/>
        </w:rPr>
        <w:t>It</w:t>
      </w:r>
      <w:r w:rsidRPr="00AB3569">
        <w:rPr>
          <w:sz w:val="24"/>
          <w:szCs w:val="24"/>
          <w:lang w:val="en-US"/>
        </w:rPr>
        <w:t xml:space="preserve"> went on </w:t>
      </w:r>
      <w:r w:rsidR="000D2FBD" w:rsidRPr="00AB3569">
        <w:rPr>
          <w:sz w:val="24"/>
          <w:szCs w:val="24"/>
          <w:lang w:val="en-US"/>
        </w:rPr>
        <w:t>to consider whether the limitati</w:t>
      </w:r>
      <w:r w:rsidRPr="00AB3569">
        <w:rPr>
          <w:sz w:val="24"/>
          <w:szCs w:val="24"/>
          <w:lang w:val="en-US"/>
        </w:rPr>
        <w:t xml:space="preserve">on could nevertheless be justified pursuant to the conditions laid down in Article 52(1) of the Charter. The Court first noted that the obligation was provided for by </w:t>
      </w:r>
      <w:r w:rsidR="00562494" w:rsidRPr="00AB3569">
        <w:rPr>
          <w:sz w:val="24"/>
          <w:szCs w:val="24"/>
          <w:lang w:val="en-US"/>
        </w:rPr>
        <w:t>national</w:t>
      </w:r>
      <w:r w:rsidRPr="00AB3569">
        <w:rPr>
          <w:sz w:val="24"/>
          <w:szCs w:val="24"/>
          <w:lang w:val="en-US"/>
        </w:rPr>
        <w:t xml:space="preserve"> law.</w:t>
      </w:r>
      <w:r w:rsidR="0033095D" w:rsidRPr="00AB3569">
        <w:rPr>
          <w:rStyle w:val="FootnoteReference"/>
          <w:sz w:val="24"/>
          <w:szCs w:val="24"/>
          <w:lang w:val="en-US"/>
        </w:rPr>
        <w:footnoteReference w:id="34"/>
      </w:r>
      <w:r w:rsidR="00C13700" w:rsidRPr="00AB3569">
        <w:rPr>
          <w:sz w:val="24"/>
          <w:szCs w:val="24"/>
          <w:lang w:val="en-US"/>
        </w:rPr>
        <w:t xml:space="preserve"> It</w:t>
      </w:r>
      <w:r w:rsidRPr="00AB3569">
        <w:rPr>
          <w:sz w:val="24"/>
          <w:szCs w:val="24"/>
          <w:lang w:val="en-US"/>
        </w:rPr>
        <w:t xml:space="preserve"> then expressed the view that the obligation respected the essence of the right to effective judicial protection since it did not bar the claimant from bringing an action to enforce his rights; it merely imposed an additional procedural step for access to the courts.</w:t>
      </w:r>
      <w:r w:rsidR="00562494" w:rsidRPr="00AB3569">
        <w:rPr>
          <w:rStyle w:val="FootnoteReference"/>
          <w:sz w:val="24"/>
          <w:szCs w:val="24"/>
          <w:lang w:val="en-US"/>
        </w:rPr>
        <w:footnoteReference w:id="35"/>
      </w:r>
      <w:r w:rsidRPr="00AB3569">
        <w:rPr>
          <w:sz w:val="24"/>
          <w:szCs w:val="24"/>
          <w:lang w:val="en-US"/>
        </w:rPr>
        <w:t xml:space="preserve"> With regard to the proportionality of the measure, the Court largely echoed the </w:t>
      </w:r>
      <w:r w:rsidR="00F53C0E" w:rsidRPr="00AB3569">
        <w:rPr>
          <w:sz w:val="24"/>
          <w:szCs w:val="24"/>
          <w:lang w:val="en-US"/>
        </w:rPr>
        <w:t>views put forward</w:t>
      </w:r>
      <w:r w:rsidR="00846C53" w:rsidRPr="00AB3569">
        <w:rPr>
          <w:sz w:val="24"/>
          <w:szCs w:val="24"/>
          <w:lang w:val="en-US"/>
        </w:rPr>
        <w:t xml:space="preserve"> by the Advocate General</w:t>
      </w:r>
      <w:r w:rsidRPr="00AB3569">
        <w:rPr>
          <w:sz w:val="24"/>
          <w:szCs w:val="24"/>
          <w:lang w:val="en-US"/>
        </w:rPr>
        <w:t>. It noted that the obligation to exhaust</w:t>
      </w:r>
      <w:r w:rsidR="00EB37F0" w:rsidRPr="00AB3569">
        <w:rPr>
          <w:sz w:val="24"/>
          <w:szCs w:val="24"/>
          <w:lang w:val="en-US"/>
        </w:rPr>
        <w:t xml:space="preserve"> administrative remedies was </w:t>
      </w:r>
      <w:r w:rsidR="00F33C75" w:rsidRPr="00AB3569">
        <w:rPr>
          <w:sz w:val="24"/>
          <w:szCs w:val="24"/>
          <w:lang w:val="en-US"/>
        </w:rPr>
        <w:t>inte</w:t>
      </w:r>
      <w:r w:rsidR="00E177A3" w:rsidRPr="00AB3569">
        <w:rPr>
          <w:sz w:val="24"/>
          <w:szCs w:val="24"/>
          <w:lang w:val="en-US"/>
        </w:rPr>
        <w:t>n</w:t>
      </w:r>
      <w:r w:rsidR="00F33C75" w:rsidRPr="00AB3569">
        <w:rPr>
          <w:sz w:val="24"/>
          <w:szCs w:val="24"/>
          <w:lang w:val="en-US"/>
        </w:rPr>
        <w:t>ded to</w:t>
      </w:r>
      <w:r w:rsidR="00846C53" w:rsidRPr="00AB3569">
        <w:rPr>
          <w:sz w:val="24"/>
          <w:szCs w:val="24"/>
          <w:lang w:val="en-US"/>
        </w:rPr>
        <w:t xml:space="preserve"> </w:t>
      </w:r>
      <w:r w:rsidR="00F33C75" w:rsidRPr="00AB3569">
        <w:rPr>
          <w:sz w:val="24"/>
          <w:szCs w:val="24"/>
          <w:lang w:val="en-US"/>
        </w:rPr>
        <w:t>relieve</w:t>
      </w:r>
      <w:r w:rsidRPr="00AB3569">
        <w:rPr>
          <w:sz w:val="24"/>
          <w:szCs w:val="24"/>
          <w:lang w:val="en-US"/>
        </w:rPr>
        <w:t xml:space="preserve"> the cour</w:t>
      </w:r>
      <w:r w:rsidR="00F33C75" w:rsidRPr="00AB3569">
        <w:rPr>
          <w:sz w:val="24"/>
          <w:szCs w:val="24"/>
          <w:lang w:val="en-US"/>
        </w:rPr>
        <w:t xml:space="preserve">ts of disputes which </w:t>
      </w:r>
      <w:r w:rsidRPr="00AB3569">
        <w:rPr>
          <w:sz w:val="24"/>
          <w:szCs w:val="24"/>
          <w:lang w:val="en-US"/>
        </w:rPr>
        <w:t xml:space="preserve">can be decided by the administration, and </w:t>
      </w:r>
      <w:r w:rsidR="00F33C75" w:rsidRPr="00AB3569">
        <w:rPr>
          <w:sz w:val="24"/>
          <w:szCs w:val="24"/>
          <w:lang w:val="en-US"/>
        </w:rPr>
        <w:t xml:space="preserve">to </w:t>
      </w:r>
      <w:r w:rsidR="00846C53" w:rsidRPr="00AB3569">
        <w:rPr>
          <w:sz w:val="24"/>
          <w:szCs w:val="24"/>
          <w:lang w:val="en-US"/>
        </w:rPr>
        <w:t>inc</w:t>
      </w:r>
      <w:r w:rsidR="00F33C75" w:rsidRPr="00AB3569">
        <w:rPr>
          <w:sz w:val="24"/>
          <w:szCs w:val="24"/>
          <w:lang w:val="en-US"/>
        </w:rPr>
        <w:t xml:space="preserve">rease </w:t>
      </w:r>
      <w:r w:rsidRPr="00AB3569">
        <w:rPr>
          <w:sz w:val="24"/>
          <w:szCs w:val="24"/>
          <w:lang w:val="en-US"/>
        </w:rPr>
        <w:t>the efficiency of judicial proceedings by allowing the court to re</w:t>
      </w:r>
      <w:r w:rsidR="00EB37F0" w:rsidRPr="00AB3569">
        <w:rPr>
          <w:sz w:val="24"/>
          <w:szCs w:val="24"/>
          <w:lang w:val="en-US"/>
        </w:rPr>
        <w:t xml:space="preserve">ly on the administrative record. These objectives were found to be legitimate; the </w:t>
      </w:r>
      <w:r w:rsidRPr="00AB3569">
        <w:rPr>
          <w:sz w:val="24"/>
          <w:szCs w:val="24"/>
          <w:lang w:val="en-US"/>
        </w:rPr>
        <w:t xml:space="preserve">obligation was </w:t>
      </w:r>
      <w:r w:rsidR="00EB37F0" w:rsidRPr="00AB3569">
        <w:rPr>
          <w:sz w:val="24"/>
          <w:szCs w:val="24"/>
          <w:lang w:val="en-US"/>
        </w:rPr>
        <w:t xml:space="preserve">seen as </w:t>
      </w:r>
      <w:r w:rsidR="00F33C75" w:rsidRPr="00AB3569">
        <w:rPr>
          <w:sz w:val="24"/>
          <w:szCs w:val="24"/>
          <w:lang w:val="en-US"/>
        </w:rPr>
        <w:t>appropriate for achieving these</w:t>
      </w:r>
      <w:r w:rsidRPr="00AB3569">
        <w:rPr>
          <w:sz w:val="24"/>
          <w:szCs w:val="24"/>
          <w:lang w:val="en-US"/>
        </w:rPr>
        <w:t xml:space="preserve"> objectives, and no less onerous method sugge</w:t>
      </w:r>
      <w:r w:rsidR="00E177A3" w:rsidRPr="00AB3569">
        <w:rPr>
          <w:sz w:val="24"/>
          <w:szCs w:val="24"/>
          <w:lang w:val="en-US"/>
        </w:rPr>
        <w:t>s</w:t>
      </w:r>
      <w:r w:rsidRPr="00AB3569">
        <w:rPr>
          <w:sz w:val="24"/>
          <w:szCs w:val="24"/>
          <w:lang w:val="en-US"/>
        </w:rPr>
        <w:t>ted itse</w:t>
      </w:r>
      <w:r w:rsidR="00F33C75" w:rsidRPr="00AB3569">
        <w:rPr>
          <w:sz w:val="24"/>
          <w:szCs w:val="24"/>
          <w:lang w:val="en-US"/>
        </w:rPr>
        <w:t>lf as capable of reali</w:t>
      </w:r>
      <w:r w:rsidR="00E177A3" w:rsidRPr="00AB3569">
        <w:rPr>
          <w:sz w:val="24"/>
          <w:szCs w:val="24"/>
          <w:lang w:val="en-US"/>
        </w:rPr>
        <w:t>z</w:t>
      </w:r>
      <w:r w:rsidR="00F33C75" w:rsidRPr="00AB3569">
        <w:rPr>
          <w:sz w:val="24"/>
          <w:szCs w:val="24"/>
          <w:lang w:val="en-US"/>
        </w:rPr>
        <w:t>ing the</w:t>
      </w:r>
      <w:r w:rsidRPr="00AB3569">
        <w:rPr>
          <w:sz w:val="24"/>
          <w:szCs w:val="24"/>
          <w:lang w:val="en-US"/>
        </w:rPr>
        <w:t xml:space="preserve"> objectives as efficiently.</w:t>
      </w:r>
      <w:r w:rsidR="00051729" w:rsidRPr="00AB3569">
        <w:rPr>
          <w:rStyle w:val="FootnoteReference"/>
          <w:sz w:val="24"/>
          <w:szCs w:val="24"/>
          <w:lang w:val="en-US"/>
        </w:rPr>
        <w:footnoteReference w:id="36"/>
      </w:r>
    </w:p>
    <w:p w14:paraId="41CD7BF3" w14:textId="22B2545E" w:rsidR="00D8653B" w:rsidRPr="00AB3569" w:rsidRDefault="00684D3C" w:rsidP="00AF755B">
      <w:pPr>
        <w:rPr>
          <w:sz w:val="24"/>
          <w:szCs w:val="24"/>
          <w:lang w:val="en-US"/>
        </w:rPr>
      </w:pPr>
      <w:r w:rsidRPr="00AB3569">
        <w:rPr>
          <w:sz w:val="24"/>
          <w:szCs w:val="24"/>
          <w:lang w:val="en-US"/>
        </w:rPr>
        <w:t>It</w:t>
      </w:r>
      <w:r w:rsidR="00846C53" w:rsidRPr="00AB3569">
        <w:rPr>
          <w:sz w:val="24"/>
          <w:szCs w:val="24"/>
          <w:lang w:val="en-US"/>
        </w:rPr>
        <w:t xml:space="preserve"> was ultimately</w:t>
      </w:r>
      <w:r w:rsidRPr="00AB3569">
        <w:rPr>
          <w:sz w:val="24"/>
          <w:szCs w:val="24"/>
          <w:lang w:val="en-US"/>
        </w:rPr>
        <w:t xml:space="preserve"> left to the referring court to examine whether the practical arrangements for the exercise of this right disproportionately affect</w:t>
      </w:r>
      <w:r w:rsidR="00846C53" w:rsidRPr="00AB3569">
        <w:rPr>
          <w:sz w:val="24"/>
          <w:szCs w:val="24"/>
          <w:lang w:val="en-US"/>
        </w:rPr>
        <w:t>ed</w:t>
      </w:r>
      <w:r w:rsidR="00EC0191" w:rsidRPr="00AB3569">
        <w:rPr>
          <w:sz w:val="24"/>
          <w:szCs w:val="24"/>
          <w:lang w:val="en-US"/>
        </w:rPr>
        <w:t xml:space="preserve"> the right to a judicial remedy</w:t>
      </w:r>
      <w:r w:rsidR="00F81752" w:rsidRPr="00AB3569">
        <w:rPr>
          <w:sz w:val="24"/>
          <w:szCs w:val="24"/>
          <w:lang w:val="en-US"/>
        </w:rPr>
        <w:t>. Nevertheless,</w:t>
      </w:r>
      <w:r w:rsidR="00EC0191" w:rsidRPr="00AB3569">
        <w:rPr>
          <w:sz w:val="24"/>
          <w:szCs w:val="24"/>
          <w:lang w:val="en-US"/>
        </w:rPr>
        <w:t xml:space="preserve"> the Court </w:t>
      </w:r>
      <w:r w:rsidR="00F81752" w:rsidRPr="00AB3569">
        <w:rPr>
          <w:sz w:val="24"/>
          <w:szCs w:val="24"/>
          <w:lang w:val="en-US"/>
        </w:rPr>
        <w:t xml:space="preserve">did </w:t>
      </w:r>
      <w:r w:rsidR="00EC0191" w:rsidRPr="00AB3569">
        <w:rPr>
          <w:sz w:val="24"/>
          <w:szCs w:val="24"/>
          <w:lang w:val="en-US"/>
        </w:rPr>
        <w:t>ma</w:t>
      </w:r>
      <w:r w:rsidR="00F81752" w:rsidRPr="00AB3569">
        <w:rPr>
          <w:sz w:val="24"/>
          <w:szCs w:val="24"/>
          <w:lang w:val="en-US"/>
        </w:rPr>
        <w:t>k</w:t>
      </w:r>
      <w:r w:rsidR="00EC0191" w:rsidRPr="00AB3569">
        <w:rPr>
          <w:sz w:val="24"/>
          <w:szCs w:val="24"/>
          <w:lang w:val="en-US"/>
        </w:rPr>
        <w:t xml:space="preserve">e reference to its previous ruling in </w:t>
      </w:r>
      <w:r w:rsidR="00EC0191" w:rsidRPr="00AB3569">
        <w:rPr>
          <w:i/>
          <w:sz w:val="24"/>
          <w:szCs w:val="24"/>
          <w:lang w:val="en-US"/>
        </w:rPr>
        <w:t>Allasini</w:t>
      </w:r>
      <w:r w:rsidR="00EC0191" w:rsidRPr="00AB3569">
        <w:rPr>
          <w:sz w:val="24"/>
          <w:szCs w:val="24"/>
          <w:lang w:val="en-US"/>
        </w:rPr>
        <w:t xml:space="preserve">, concerning the Union law compatibility of a mandatory out-of-court settlement procedure, and stated that the conditions laid down in that ruling “apply </w:t>
      </w:r>
      <w:r w:rsidR="00EC0191" w:rsidRPr="00AB3569">
        <w:rPr>
          <w:i/>
          <w:sz w:val="24"/>
          <w:szCs w:val="24"/>
          <w:lang w:val="en-US"/>
        </w:rPr>
        <w:t>mutatis mutandis</w:t>
      </w:r>
      <w:r w:rsidR="00EC0191" w:rsidRPr="00AB3569">
        <w:rPr>
          <w:sz w:val="24"/>
          <w:szCs w:val="24"/>
          <w:lang w:val="en-US"/>
        </w:rPr>
        <w:t>” to the obligation to exhaust administrative remedies.</w:t>
      </w:r>
      <w:r w:rsidR="00EC0191" w:rsidRPr="00AB3569">
        <w:rPr>
          <w:rStyle w:val="FootnoteReference"/>
          <w:sz w:val="24"/>
          <w:szCs w:val="24"/>
          <w:lang w:val="en-US"/>
        </w:rPr>
        <w:footnoteReference w:id="37"/>
      </w:r>
      <w:r w:rsidR="00EC0191" w:rsidRPr="00AB3569">
        <w:rPr>
          <w:sz w:val="24"/>
          <w:szCs w:val="24"/>
          <w:lang w:val="en-US"/>
        </w:rPr>
        <w:t xml:space="preserve"> The referring court therefore needed to make sure that </w:t>
      </w:r>
      <w:r w:rsidR="00385820" w:rsidRPr="00AB3569">
        <w:rPr>
          <w:sz w:val="24"/>
          <w:szCs w:val="24"/>
          <w:lang w:val="en-US"/>
        </w:rPr>
        <w:t>the limitation period was</w:t>
      </w:r>
      <w:r w:rsidR="00BA314F" w:rsidRPr="00AB3569">
        <w:rPr>
          <w:sz w:val="24"/>
          <w:szCs w:val="24"/>
          <w:lang w:val="en-US"/>
        </w:rPr>
        <w:t xml:space="preserve"> suspended, and that </w:t>
      </w:r>
      <w:r w:rsidRPr="00AB3569">
        <w:rPr>
          <w:sz w:val="24"/>
          <w:szCs w:val="24"/>
          <w:lang w:val="en-US"/>
        </w:rPr>
        <w:t>the prior exhaustion o</w:t>
      </w:r>
      <w:r w:rsidR="00385820" w:rsidRPr="00AB3569">
        <w:rPr>
          <w:sz w:val="24"/>
          <w:szCs w:val="24"/>
          <w:lang w:val="en-US"/>
        </w:rPr>
        <w:t>f the administrative remedy did</w:t>
      </w:r>
      <w:r w:rsidRPr="00AB3569">
        <w:rPr>
          <w:sz w:val="24"/>
          <w:szCs w:val="24"/>
          <w:lang w:val="en-US"/>
        </w:rPr>
        <w:t xml:space="preserve"> not lead to a substantial delay</w:t>
      </w:r>
      <w:r w:rsidR="00BA314F" w:rsidRPr="00AB3569">
        <w:rPr>
          <w:sz w:val="24"/>
          <w:szCs w:val="24"/>
          <w:lang w:val="en-US"/>
        </w:rPr>
        <w:t xml:space="preserve"> or excessive costs</w:t>
      </w:r>
      <w:r w:rsidRPr="00AB3569">
        <w:rPr>
          <w:sz w:val="24"/>
          <w:szCs w:val="24"/>
          <w:lang w:val="en-US"/>
        </w:rPr>
        <w:t>.</w:t>
      </w:r>
      <w:r w:rsidR="004E0443" w:rsidRPr="00AB3569">
        <w:rPr>
          <w:sz w:val="24"/>
          <w:szCs w:val="24"/>
          <w:lang w:val="en-US"/>
        </w:rPr>
        <w:t xml:space="preserve"> </w:t>
      </w:r>
      <w:r w:rsidR="00EC0191" w:rsidRPr="00AB3569">
        <w:rPr>
          <w:sz w:val="24"/>
          <w:szCs w:val="24"/>
          <w:lang w:val="en-US"/>
        </w:rPr>
        <w:t>Moreover, a</w:t>
      </w:r>
      <w:r w:rsidR="00D8653B" w:rsidRPr="00AB3569">
        <w:rPr>
          <w:sz w:val="24"/>
          <w:szCs w:val="24"/>
          <w:lang w:val="en-US"/>
        </w:rPr>
        <w:t>n obligation to exha</w:t>
      </w:r>
      <w:r w:rsidR="00B73464" w:rsidRPr="00AB3569">
        <w:rPr>
          <w:sz w:val="24"/>
          <w:szCs w:val="24"/>
          <w:lang w:val="en-US"/>
        </w:rPr>
        <w:t xml:space="preserve">ust administrative remedies </w:t>
      </w:r>
      <w:r w:rsidR="004E0443" w:rsidRPr="00AB3569">
        <w:rPr>
          <w:sz w:val="24"/>
          <w:szCs w:val="24"/>
          <w:lang w:val="en-US"/>
        </w:rPr>
        <w:t xml:space="preserve">would only be </w:t>
      </w:r>
      <w:r w:rsidR="00D8653B" w:rsidRPr="00AB3569">
        <w:rPr>
          <w:sz w:val="24"/>
          <w:szCs w:val="24"/>
          <w:lang w:val="en-US"/>
        </w:rPr>
        <w:t>compatible with Article 47 of the Charter ins</w:t>
      </w:r>
      <w:r w:rsidR="00E27E82" w:rsidRPr="00AB3569">
        <w:rPr>
          <w:sz w:val="24"/>
          <w:szCs w:val="24"/>
          <w:lang w:val="en-US"/>
        </w:rPr>
        <w:t>o</w:t>
      </w:r>
      <w:r w:rsidR="00D8653B" w:rsidRPr="00AB3569">
        <w:rPr>
          <w:sz w:val="24"/>
          <w:szCs w:val="24"/>
          <w:lang w:val="en-US"/>
        </w:rPr>
        <w:t xml:space="preserve">far as the procedure </w:t>
      </w:r>
      <w:r w:rsidR="004E0443" w:rsidRPr="00AB3569">
        <w:rPr>
          <w:sz w:val="24"/>
          <w:szCs w:val="24"/>
          <w:lang w:val="en-US"/>
        </w:rPr>
        <w:t>could</w:t>
      </w:r>
      <w:r w:rsidR="00D8653B" w:rsidRPr="00AB3569">
        <w:rPr>
          <w:sz w:val="24"/>
          <w:szCs w:val="24"/>
          <w:lang w:val="en-US"/>
        </w:rPr>
        <w:t xml:space="preserve"> be accessed </w:t>
      </w:r>
      <w:r w:rsidR="007F3C7D" w:rsidRPr="00AB3569">
        <w:rPr>
          <w:sz w:val="24"/>
          <w:szCs w:val="24"/>
          <w:lang w:val="en-US"/>
        </w:rPr>
        <w:t>by means other than</w:t>
      </w:r>
      <w:r w:rsidR="00D8653B" w:rsidRPr="00AB3569">
        <w:rPr>
          <w:sz w:val="24"/>
          <w:szCs w:val="24"/>
          <w:lang w:val="en-US"/>
        </w:rPr>
        <w:t xml:space="preserve"> electronic, and i</w:t>
      </w:r>
      <w:r w:rsidR="004E0443" w:rsidRPr="00AB3569">
        <w:rPr>
          <w:sz w:val="24"/>
          <w:szCs w:val="24"/>
          <w:lang w:val="en-US"/>
        </w:rPr>
        <w:t xml:space="preserve">nsofar as interim measures were available </w:t>
      </w:r>
      <w:r w:rsidR="00D8653B" w:rsidRPr="00AB3569">
        <w:rPr>
          <w:sz w:val="24"/>
          <w:szCs w:val="24"/>
          <w:lang w:val="en-US"/>
        </w:rPr>
        <w:t>in exceptional cases.</w:t>
      </w:r>
    </w:p>
    <w:p w14:paraId="0318E0EA" w14:textId="59278561" w:rsidR="00684D3C" w:rsidRPr="00AB3569" w:rsidRDefault="001B2957" w:rsidP="00684D3C">
      <w:pPr>
        <w:rPr>
          <w:sz w:val="24"/>
          <w:szCs w:val="24"/>
          <w:lang w:val="en-US"/>
        </w:rPr>
      </w:pPr>
      <w:r w:rsidRPr="00AB3569">
        <w:rPr>
          <w:sz w:val="24"/>
          <w:szCs w:val="24"/>
          <w:lang w:val="en-US"/>
        </w:rPr>
        <w:t>The ECJ</w:t>
      </w:r>
      <w:r w:rsidR="00684D3C" w:rsidRPr="00AB3569">
        <w:rPr>
          <w:sz w:val="24"/>
          <w:szCs w:val="24"/>
          <w:lang w:val="en-US"/>
        </w:rPr>
        <w:t xml:space="preserve"> then</w:t>
      </w:r>
      <w:r w:rsidR="003960BE" w:rsidRPr="00AB3569">
        <w:rPr>
          <w:sz w:val="24"/>
          <w:szCs w:val="24"/>
          <w:lang w:val="en-US"/>
        </w:rPr>
        <w:t>, in line with the approach of the Advocate General,</w:t>
      </w:r>
      <w:r w:rsidR="00684D3C" w:rsidRPr="00AB3569">
        <w:rPr>
          <w:sz w:val="24"/>
          <w:szCs w:val="24"/>
          <w:lang w:val="en-US"/>
        </w:rPr>
        <w:t xml:space="preserve"> conside</w:t>
      </w:r>
      <w:r w:rsidR="00FF0DE3" w:rsidRPr="00AB3569">
        <w:rPr>
          <w:sz w:val="24"/>
          <w:szCs w:val="24"/>
          <w:lang w:val="en-US"/>
        </w:rPr>
        <w:t>r</w:t>
      </w:r>
      <w:r w:rsidR="00545C67" w:rsidRPr="00AB3569">
        <w:rPr>
          <w:sz w:val="24"/>
          <w:szCs w:val="24"/>
          <w:lang w:val="en-US"/>
        </w:rPr>
        <w:t>ed</w:t>
      </w:r>
      <w:r w:rsidR="00FF0DE3" w:rsidRPr="00AB3569">
        <w:rPr>
          <w:sz w:val="24"/>
          <w:szCs w:val="24"/>
          <w:lang w:val="en-US"/>
        </w:rPr>
        <w:t xml:space="preserve"> whether the contested list could</w:t>
      </w:r>
      <w:r w:rsidR="00684D3C" w:rsidRPr="00AB3569">
        <w:rPr>
          <w:sz w:val="24"/>
          <w:szCs w:val="24"/>
          <w:lang w:val="en-US"/>
        </w:rPr>
        <w:t xml:space="preserve"> be rejected as inadmissible evidence. After noting that such a rejection </w:t>
      </w:r>
      <w:r w:rsidR="00F81752" w:rsidRPr="00AB3569">
        <w:rPr>
          <w:sz w:val="24"/>
          <w:szCs w:val="24"/>
          <w:lang w:val="en-US"/>
        </w:rPr>
        <w:t xml:space="preserve">did </w:t>
      </w:r>
      <w:r w:rsidR="00684D3C" w:rsidRPr="00AB3569">
        <w:rPr>
          <w:sz w:val="24"/>
          <w:szCs w:val="24"/>
          <w:lang w:val="en-US"/>
        </w:rPr>
        <w:t xml:space="preserve">constitute a limitation on the right to an effective </w:t>
      </w:r>
      <w:r w:rsidR="00FF0DE3" w:rsidRPr="00AB3569">
        <w:rPr>
          <w:sz w:val="24"/>
          <w:szCs w:val="24"/>
          <w:lang w:val="en-US"/>
        </w:rPr>
        <w:t xml:space="preserve">legal remedy, the Court </w:t>
      </w:r>
      <w:r w:rsidR="008B42B8" w:rsidRPr="00AB3569">
        <w:rPr>
          <w:sz w:val="24"/>
          <w:szCs w:val="24"/>
          <w:lang w:val="en-US"/>
        </w:rPr>
        <w:t xml:space="preserve">left </w:t>
      </w:r>
      <w:r w:rsidR="00E72410" w:rsidRPr="00AB3569">
        <w:rPr>
          <w:sz w:val="24"/>
          <w:szCs w:val="24"/>
          <w:lang w:val="en-US"/>
        </w:rPr>
        <w:t xml:space="preserve">it </w:t>
      </w:r>
      <w:r w:rsidR="008B42B8" w:rsidRPr="00AB3569">
        <w:rPr>
          <w:sz w:val="24"/>
          <w:szCs w:val="24"/>
          <w:lang w:val="en-US"/>
        </w:rPr>
        <w:t>to the referring</w:t>
      </w:r>
      <w:r w:rsidR="00747055" w:rsidRPr="00AB3569">
        <w:rPr>
          <w:sz w:val="24"/>
          <w:szCs w:val="24"/>
          <w:lang w:val="en-US"/>
        </w:rPr>
        <w:t xml:space="preserve"> court to determine whether this limitation </w:t>
      </w:r>
      <w:r w:rsidR="008B42B8" w:rsidRPr="00AB3569">
        <w:rPr>
          <w:sz w:val="24"/>
          <w:szCs w:val="24"/>
          <w:lang w:val="en-US"/>
        </w:rPr>
        <w:t xml:space="preserve">could qualify as a justified interference pursuant to </w:t>
      </w:r>
      <w:r w:rsidR="00684D3C" w:rsidRPr="00AB3569">
        <w:rPr>
          <w:sz w:val="24"/>
          <w:szCs w:val="24"/>
          <w:lang w:val="en-US"/>
        </w:rPr>
        <w:t>Article 52(1) of the Charter.</w:t>
      </w:r>
      <w:r w:rsidR="000D756B" w:rsidRPr="00AB3569">
        <w:rPr>
          <w:rStyle w:val="FootnoteReference"/>
          <w:sz w:val="24"/>
          <w:szCs w:val="24"/>
          <w:lang w:val="en-US"/>
        </w:rPr>
        <w:footnoteReference w:id="38"/>
      </w:r>
      <w:r w:rsidR="00684D3C" w:rsidRPr="00AB3569">
        <w:rPr>
          <w:sz w:val="24"/>
          <w:szCs w:val="24"/>
          <w:lang w:val="en-US"/>
        </w:rPr>
        <w:t xml:space="preserve"> </w:t>
      </w:r>
      <w:r w:rsidR="00506CB7" w:rsidRPr="00AB3569">
        <w:rPr>
          <w:sz w:val="24"/>
          <w:szCs w:val="24"/>
          <w:lang w:val="en-US"/>
        </w:rPr>
        <w:t>When examining</w:t>
      </w:r>
      <w:r w:rsidR="00684D3C" w:rsidRPr="00AB3569">
        <w:rPr>
          <w:sz w:val="24"/>
          <w:szCs w:val="24"/>
          <w:lang w:val="en-US"/>
        </w:rPr>
        <w:t xml:space="preserve"> whether </w:t>
      </w:r>
      <w:r w:rsidR="00747055" w:rsidRPr="00AB3569">
        <w:rPr>
          <w:sz w:val="24"/>
          <w:szCs w:val="24"/>
          <w:lang w:val="en-US"/>
        </w:rPr>
        <w:t>the measure affected</w:t>
      </w:r>
      <w:r w:rsidR="00684D3C" w:rsidRPr="00AB3569">
        <w:rPr>
          <w:sz w:val="24"/>
          <w:szCs w:val="24"/>
          <w:lang w:val="en-US"/>
        </w:rPr>
        <w:t xml:space="preserve"> the essential content of the right to effective judicial protection, the Court urged the referring court to ascertain whether the exist</w:t>
      </w:r>
      <w:r w:rsidR="00545C67" w:rsidRPr="00AB3569">
        <w:rPr>
          <w:sz w:val="24"/>
          <w:szCs w:val="24"/>
          <w:lang w:val="en-US"/>
        </w:rPr>
        <w:t>e</w:t>
      </w:r>
      <w:r w:rsidR="00FF0DE3" w:rsidRPr="00AB3569">
        <w:rPr>
          <w:sz w:val="24"/>
          <w:szCs w:val="24"/>
          <w:lang w:val="en-US"/>
        </w:rPr>
        <w:t>nce and content of this list was disputed, and whether</w:t>
      </w:r>
      <w:r w:rsidR="00684D3C" w:rsidRPr="00AB3569">
        <w:rPr>
          <w:sz w:val="24"/>
          <w:szCs w:val="24"/>
          <w:lang w:val="en-US"/>
        </w:rPr>
        <w:t xml:space="preserve"> the claima</w:t>
      </w:r>
      <w:r w:rsidR="00FF0DE3" w:rsidRPr="00AB3569">
        <w:rPr>
          <w:sz w:val="24"/>
          <w:szCs w:val="24"/>
          <w:lang w:val="en-US"/>
        </w:rPr>
        <w:t>nt had</w:t>
      </w:r>
      <w:r w:rsidR="00684D3C" w:rsidRPr="00AB3569">
        <w:rPr>
          <w:sz w:val="24"/>
          <w:szCs w:val="24"/>
          <w:lang w:val="en-US"/>
        </w:rPr>
        <w:t xml:space="preserve"> other evidence in this regard.</w:t>
      </w:r>
      <w:r w:rsidR="00CC70F1" w:rsidRPr="00AB3569">
        <w:rPr>
          <w:rStyle w:val="FootnoteReference"/>
          <w:sz w:val="24"/>
          <w:szCs w:val="24"/>
          <w:lang w:val="en-US"/>
        </w:rPr>
        <w:footnoteReference w:id="39"/>
      </w:r>
      <w:r w:rsidR="00684D3C" w:rsidRPr="00AB3569">
        <w:rPr>
          <w:sz w:val="24"/>
          <w:szCs w:val="24"/>
          <w:lang w:val="en-US"/>
        </w:rPr>
        <w:t xml:space="preserve"> The </w:t>
      </w:r>
      <w:r w:rsidR="008B42B8" w:rsidRPr="00AB3569">
        <w:rPr>
          <w:sz w:val="24"/>
          <w:szCs w:val="24"/>
          <w:lang w:val="en-US"/>
        </w:rPr>
        <w:t>ECJ</w:t>
      </w:r>
      <w:r w:rsidR="00684D3C" w:rsidRPr="00AB3569">
        <w:rPr>
          <w:sz w:val="24"/>
          <w:szCs w:val="24"/>
          <w:lang w:val="en-US"/>
        </w:rPr>
        <w:t xml:space="preserve"> </w:t>
      </w:r>
      <w:r w:rsidR="008B42B8" w:rsidRPr="00AB3569">
        <w:rPr>
          <w:sz w:val="24"/>
          <w:szCs w:val="24"/>
          <w:lang w:val="en-US"/>
        </w:rPr>
        <w:t xml:space="preserve">noted </w:t>
      </w:r>
      <w:r w:rsidR="00684D3C" w:rsidRPr="00AB3569">
        <w:rPr>
          <w:sz w:val="24"/>
          <w:szCs w:val="24"/>
          <w:lang w:val="en-US"/>
        </w:rPr>
        <w:t>that the objective of avoiding unauthori</w:t>
      </w:r>
      <w:r w:rsidR="008F120C" w:rsidRPr="00AB3569">
        <w:rPr>
          <w:sz w:val="24"/>
          <w:szCs w:val="24"/>
          <w:lang w:val="en-US"/>
        </w:rPr>
        <w:t>z</w:t>
      </w:r>
      <w:r w:rsidR="00684D3C" w:rsidRPr="00AB3569">
        <w:rPr>
          <w:sz w:val="24"/>
          <w:szCs w:val="24"/>
          <w:lang w:val="en-US"/>
        </w:rPr>
        <w:t>e</w:t>
      </w:r>
      <w:r w:rsidR="00FF0DE3" w:rsidRPr="00AB3569">
        <w:rPr>
          <w:sz w:val="24"/>
          <w:szCs w:val="24"/>
          <w:lang w:val="en-US"/>
        </w:rPr>
        <w:t xml:space="preserve">d use of internal documents </w:t>
      </w:r>
      <w:r w:rsidR="008B42B8" w:rsidRPr="00AB3569">
        <w:rPr>
          <w:sz w:val="24"/>
          <w:szCs w:val="24"/>
          <w:lang w:val="en-US"/>
        </w:rPr>
        <w:t xml:space="preserve">appeared to be capable of constituting </w:t>
      </w:r>
      <w:r w:rsidR="00684D3C" w:rsidRPr="00AB3569">
        <w:rPr>
          <w:sz w:val="24"/>
          <w:szCs w:val="24"/>
          <w:lang w:val="en-US"/>
        </w:rPr>
        <w:t xml:space="preserve">a legitimate </w:t>
      </w:r>
      <w:r w:rsidR="00BA790F" w:rsidRPr="00AB3569">
        <w:rPr>
          <w:sz w:val="24"/>
          <w:szCs w:val="24"/>
          <w:lang w:val="en-US"/>
        </w:rPr>
        <w:t xml:space="preserve">general </w:t>
      </w:r>
      <w:r w:rsidR="00684D3C" w:rsidRPr="00AB3569">
        <w:rPr>
          <w:sz w:val="24"/>
          <w:szCs w:val="24"/>
          <w:lang w:val="en-US"/>
        </w:rPr>
        <w:t>interest</w:t>
      </w:r>
      <w:r w:rsidR="00BA790F" w:rsidRPr="00AB3569">
        <w:rPr>
          <w:sz w:val="24"/>
          <w:szCs w:val="24"/>
          <w:lang w:val="en-US"/>
        </w:rPr>
        <w:t xml:space="preserve"> objective</w:t>
      </w:r>
      <w:r w:rsidR="00684D3C" w:rsidRPr="00AB3569">
        <w:rPr>
          <w:sz w:val="24"/>
          <w:szCs w:val="24"/>
          <w:lang w:val="en-US"/>
        </w:rPr>
        <w:t xml:space="preserve">, </w:t>
      </w:r>
      <w:r w:rsidR="00AB0A7C" w:rsidRPr="00AB3569">
        <w:rPr>
          <w:sz w:val="24"/>
          <w:szCs w:val="24"/>
          <w:lang w:val="en-US"/>
        </w:rPr>
        <w:t>adding</w:t>
      </w:r>
      <w:r w:rsidR="00BA790F" w:rsidRPr="00AB3569">
        <w:rPr>
          <w:sz w:val="24"/>
          <w:szCs w:val="24"/>
          <w:lang w:val="en-US"/>
        </w:rPr>
        <w:t xml:space="preserve"> that </w:t>
      </w:r>
      <w:r w:rsidR="00941637" w:rsidRPr="00AB3569">
        <w:rPr>
          <w:sz w:val="24"/>
          <w:szCs w:val="24"/>
          <w:lang w:val="en-US"/>
        </w:rPr>
        <w:t>the measure</w:t>
      </w:r>
      <w:r w:rsidR="008B42B8" w:rsidRPr="00AB3569">
        <w:rPr>
          <w:sz w:val="24"/>
          <w:szCs w:val="24"/>
          <w:lang w:val="en-US"/>
        </w:rPr>
        <w:t xml:space="preserve"> could possibly also </w:t>
      </w:r>
      <w:r w:rsidR="00BA790F" w:rsidRPr="00AB3569">
        <w:rPr>
          <w:sz w:val="24"/>
          <w:szCs w:val="24"/>
          <w:lang w:val="en-US"/>
        </w:rPr>
        <w:t>serve to protect the rights of oth</w:t>
      </w:r>
      <w:r w:rsidR="00CB0AAC" w:rsidRPr="00AB3569">
        <w:rPr>
          <w:sz w:val="24"/>
          <w:szCs w:val="24"/>
          <w:lang w:val="en-US"/>
        </w:rPr>
        <w:t>er natural persons on the list.</w:t>
      </w:r>
      <w:r w:rsidR="00CB0AAC" w:rsidRPr="00AB3569">
        <w:rPr>
          <w:rStyle w:val="FootnoteReference"/>
          <w:sz w:val="24"/>
          <w:szCs w:val="24"/>
          <w:lang w:val="en-US"/>
        </w:rPr>
        <w:footnoteReference w:id="40"/>
      </w:r>
      <w:r w:rsidR="00941637" w:rsidRPr="00AB3569">
        <w:rPr>
          <w:sz w:val="24"/>
          <w:szCs w:val="24"/>
          <w:lang w:val="en-US"/>
        </w:rPr>
        <w:t xml:space="preserve"> </w:t>
      </w:r>
      <w:r w:rsidR="004B5C64" w:rsidRPr="00AB3569">
        <w:rPr>
          <w:sz w:val="24"/>
          <w:szCs w:val="24"/>
          <w:lang w:val="en-US"/>
        </w:rPr>
        <w:t xml:space="preserve">Finally, the Court noted that a rejection of the list would be a disproportionate measure </w:t>
      </w:r>
      <w:r w:rsidR="00684D3C" w:rsidRPr="00AB3569">
        <w:rPr>
          <w:sz w:val="24"/>
          <w:szCs w:val="24"/>
          <w:lang w:val="en-US"/>
        </w:rPr>
        <w:t>if the data subjects enjoy</w:t>
      </w:r>
      <w:r w:rsidR="004B5C64" w:rsidRPr="00AB3569">
        <w:rPr>
          <w:sz w:val="24"/>
          <w:szCs w:val="24"/>
          <w:lang w:val="en-US"/>
        </w:rPr>
        <w:t>ed</w:t>
      </w:r>
      <w:r w:rsidR="00684D3C" w:rsidRPr="00AB3569">
        <w:rPr>
          <w:sz w:val="24"/>
          <w:szCs w:val="24"/>
          <w:lang w:val="en-US"/>
        </w:rPr>
        <w:t xml:space="preserve"> a right of access to those data pursuant to the Directive.</w:t>
      </w:r>
      <w:r w:rsidR="00684D3C" w:rsidRPr="00AB3569">
        <w:rPr>
          <w:rStyle w:val="FootnoteReference"/>
          <w:sz w:val="24"/>
          <w:szCs w:val="24"/>
          <w:lang w:val="en-US"/>
        </w:rPr>
        <w:footnoteReference w:id="41"/>
      </w:r>
    </w:p>
    <w:p w14:paraId="6C7916FE" w14:textId="7B876943" w:rsidR="001C3AB3" w:rsidRPr="00AB3569" w:rsidRDefault="002A7FA9" w:rsidP="00D10E55">
      <w:pPr>
        <w:rPr>
          <w:sz w:val="24"/>
          <w:szCs w:val="24"/>
          <w:lang w:val="en-US"/>
        </w:rPr>
      </w:pPr>
      <w:r w:rsidRPr="00AB3569">
        <w:rPr>
          <w:sz w:val="24"/>
          <w:szCs w:val="24"/>
          <w:lang w:val="en-US"/>
        </w:rPr>
        <w:t>With respect to the lawfulness of</w:t>
      </w:r>
      <w:r w:rsidR="00B25D4B" w:rsidRPr="00AB3569">
        <w:rPr>
          <w:sz w:val="24"/>
          <w:szCs w:val="24"/>
          <w:lang w:val="en-US"/>
        </w:rPr>
        <w:t xml:space="preserve"> the list, the Court first noted</w:t>
      </w:r>
      <w:r w:rsidRPr="00AB3569">
        <w:rPr>
          <w:sz w:val="24"/>
          <w:szCs w:val="24"/>
          <w:lang w:val="en-US"/>
        </w:rPr>
        <w:t xml:space="preserve"> that if the conditions</w:t>
      </w:r>
      <w:r w:rsidR="00034D6F" w:rsidRPr="00AB3569">
        <w:rPr>
          <w:sz w:val="24"/>
          <w:szCs w:val="24"/>
          <w:lang w:val="en-US"/>
        </w:rPr>
        <w:t xml:space="preserve"> for lawful processing</w:t>
      </w:r>
      <w:r w:rsidRPr="00AB3569">
        <w:rPr>
          <w:sz w:val="24"/>
          <w:szCs w:val="24"/>
          <w:lang w:val="en-US"/>
        </w:rPr>
        <w:t xml:space="preserve"> laid dow</w:t>
      </w:r>
      <w:r w:rsidR="005304A6" w:rsidRPr="00AB3569">
        <w:rPr>
          <w:sz w:val="24"/>
          <w:szCs w:val="24"/>
          <w:lang w:val="en-US"/>
        </w:rPr>
        <w:t xml:space="preserve">n in the Directive </w:t>
      </w:r>
      <w:r w:rsidR="008F120C" w:rsidRPr="00AB3569">
        <w:rPr>
          <w:sz w:val="24"/>
          <w:szCs w:val="24"/>
          <w:lang w:val="en-US"/>
        </w:rPr>
        <w:t xml:space="preserve">were </w:t>
      </w:r>
      <w:r w:rsidR="005304A6" w:rsidRPr="00AB3569">
        <w:rPr>
          <w:sz w:val="24"/>
          <w:szCs w:val="24"/>
          <w:lang w:val="en-US"/>
        </w:rPr>
        <w:t>fulfilled</w:t>
      </w:r>
      <w:r w:rsidR="00CA76FD" w:rsidRPr="00AB3569">
        <w:rPr>
          <w:sz w:val="24"/>
          <w:szCs w:val="24"/>
          <w:lang w:val="en-US"/>
        </w:rPr>
        <w:t>, the processing should</w:t>
      </w:r>
      <w:r w:rsidRPr="00AB3569">
        <w:rPr>
          <w:sz w:val="24"/>
          <w:szCs w:val="24"/>
          <w:lang w:val="en-US"/>
        </w:rPr>
        <w:t xml:space="preserve"> be deemed to satisfy also the requirements laid down in Articles 7 and 8 of the Charter (</w:t>
      </w:r>
      <w:r w:rsidR="000C2C09" w:rsidRPr="00AB3569">
        <w:rPr>
          <w:sz w:val="24"/>
          <w:szCs w:val="24"/>
          <w:lang w:val="en-US"/>
        </w:rPr>
        <w:t xml:space="preserve">the right to </w:t>
      </w:r>
      <w:r w:rsidR="0069240C" w:rsidRPr="00AB3569">
        <w:rPr>
          <w:sz w:val="24"/>
          <w:szCs w:val="24"/>
          <w:lang w:val="en-US"/>
        </w:rPr>
        <w:t xml:space="preserve">privacy and </w:t>
      </w:r>
      <w:r w:rsidR="000C2C09" w:rsidRPr="00AB3569">
        <w:rPr>
          <w:sz w:val="24"/>
          <w:szCs w:val="24"/>
          <w:lang w:val="en-US"/>
        </w:rPr>
        <w:t>data protection, respectively</w:t>
      </w:r>
      <w:r w:rsidRPr="00AB3569">
        <w:rPr>
          <w:sz w:val="24"/>
          <w:szCs w:val="24"/>
          <w:lang w:val="en-US"/>
        </w:rPr>
        <w:t>)</w:t>
      </w:r>
      <w:r w:rsidR="000C2C09" w:rsidRPr="00AB3569">
        <w:rPr>
          <w:sz w:val="24"/>
          <w:szCs w:val="24"/>
          <w:lang w:val="en-US"/>
        </w:rPr>
        <w:t>.</w:t>
      </w:r>
      <w:r w:rsidR="00C82CAE" w:rsidRPr="00AB3569">
        <w:rPr>
          <w:rStyle w:val="FootnoteReference"/>
          <w:sz w:val="24"/>
          <w:szCs w:val="24"/>
          <w:lang w:val="en-US"/>
        </w:rPr>
        <w:footnoteReference w:id="42"/>
      </w:r>
      <w:r w:rsidR="00FF0DE3" w:rsidRPr="00AB3569">
        <w:rPr>
          <w:sz w:val="24"/>
          <w:szCs w:val="24"/>
          <w:lang w:val="en-US"/>
        </w:rPr>
        <w:t xml:space="preserve"> </w:t>
      </w:r>
      <w:r w:rsidR="001C3AB3" w:rsidRPr="00AB3569">
        <w:rPr>
          <w:sz w:val="24"/>
          <w:szCs w:val="24"/>
          <w:lang w:val="en-US"/>
        </w:rPr>
        <w:t>S</w:t>
      </w:r>
      <w:r w:rsidR="00D60BAF" w:rsidRPr="00AB3569">
        <w:rPr>
          <w:sz w:val="24"/>
          <w:szCs w:val="24"/>
          <w:lang w:val="en-US"/>
        </w:rPr>
        <w:t xml:space="preserve">ubject to the exceptions permitted under Article 13 of the </w:t>
      </w:r>
      <w:r w:rsidR="008F120C" w:rsidRPr="00AB3569">
        <w:rPr>
          <w:sz w:val="24"/>
          <w:szCs w:val="24"/>
          <w:lang w:val="en-US"/>
        </w:rPr>
        <w:t>D</w:t>
      </w:r>
      <w:r w:rsidR="00D60BAF" w:rsidRPr="00AB3569">
        <w:rPr>
          <w:sz w:val="24"/>
          <w:szCs w:val="24"/>
          <w:lang w:val="en-US"/>
        </w:rPr>
        <w:t>irective,</w:t>
      </w:r>
      <w:r w:rsidR="00034D6F" w:rsidRPr="00AB3569">
        <w:rPr>
          <w:sz w:val="24"/>
          <w:szCs w:val="24"/>
          <w:lang w:val="en-US"/>
        </w:rPr>
        <w:t xml:space="preserve"> </w:t>
      </w:r>
      <w:r w:rsidR="00D60BAF" w:rsidRPr="00AB3569">
        <w:rPr>
          <w:sz w:val="24"/>
          <w:szCs w:val="24"/>
          <w:lang w:val="en-US"/>
        </w:rPr>
        <w:t xml:space="preserve">the processing of personal data must comply with the principles relating to data quality set out in Article 6, and with one of the criteria for making data processing legitimate listed in Article 7 of the </w:t>
      </w:r>
      <w:r w:rsidR="008F120C" w:rsidRPr="00AB3569">
        <w:rPr>
          <w:sz w:val="24"/>
          <w:szCs w:val="24"/>
          <w:lang w:val="en-US"/>
        </w:rPr>
        <w:t>D</w:t>
      </w:r>
      <w:r w:rsidR="00D60BAF" w:rsidRPr="00AB3569">
        <w:rPr>
          <w:sz w:val="24"/>
          <w:szCs w:val="24"/>
          <w:lang w:val="en-US"/>
        </w:rPr>
        <w:t>irective.</w:t>
      </w:r>
      <w:r w:rsidR="00D60BAF" w:rsidRPr="00AB3569">
        <w:rPr>
          <w:rStyle w:val="FootnoteReference"/>
          <w:sz w:val="24"/>
          <w:szCs w:val="24"/>
          <w:lang w:val="en-US"/>
        </w:rPr>
        <w:footnoteReference w:id="43"/>
      </w:r>
      <w:r w:rsidR="00D60BAF" w:rsidRPr="00AB3569">
        <w:rPr>
          <w:sz w:val="24"/>
          <w:szCs w:val="24"/>
          <w:lang w:val="en-US"/>
        </w:rPr>
        <w:t xml:space="preserve"> </w:t>
      </w:r>
      <w:r w:rsidR="001C3AB3" w:rsidRPr="00AB3569">
        <w:rPr>
          <w:sz w:val="24"/>
          <w:szCs w:val="24"/>
          <w:lang w:val="en-US"/>
        </w:rPr>
        <w:t>The Court found it likely that the drawing-up</w:t>
      </w:r>
      <w:r w:rsidR="00034D6F" w:rsidRPr="00AB3569">
        <w:rPr>
          <w:sz w:val="24"/>
          <w:szCs w:val="24"/>
          <w:lang w:val="en-US"/>
        </w:rPr>
        <w:t xml:space="preserve"> of the lis</w:t>
      </w:r>
      <w:r w:rsidR="00D60BAF" w:rsidRPr="00AB3569">
        <w:rPr>
          <w:sz w:val="24"/>
          <w:szCs w:val="24"/>
          <w:lang w:val="en-US"/>
        </w:rPr>
        <w:t xml:space="preserve">t </w:t>
      </w:r>
      <w:r w:rsidR="001C3AB3" w:rsidRPr="00AB3569">
        <w:rPr>
          <w:sz w:val="24"/>
          <w:szCs w:val="24"/>
          <w:lang w:val="en-US"/>
        </w:rPr>
        <w:t>fell</w:t>
      </w:r>
      <w:r w:rsidR="00D60BAF" w:rsidRPr="00AB3569">
        <w:rPr>
          <w:sz w:val="24"/>
          <w:szCs w:val="24"/>
          <w:lang w:val="en-US"/>
        </w:rPr>
        <w:t xml:space="preserve"> within </w:t>
      </w:r>
      <w:r w:rsidR="00034D6F" w:rsidRPr="00AB3569">
        <w:rPr>
          <w:sz w:val="24"/>
          <w:szCs w:val="24"/>
          <w:lang w:val="en-US"/>
        </w:rPr>
        <w:t>Article 7(e)</w:t>
      </w:r>
      <w:r w:rsidR="00855730" w:rsidRPr="00AB3569">
        <w:rPr>
          <w:sz w:val="24"/>
          <w:szCs w:val="24"/>
          <w:lang w:val="en-US"/>
        </w:rPr>
        <w:t xml:space="preserve"> of the Directive</w:t>
      </w:r>
      <w:r w:rsidR="00034D6F" w:rsidRPr="00AB3569">
        <w:rPr>
          <w:sz w:val="24"/>
          <w:szCs w:val="24"/>
          <w:lang w:val="en-US"/>
        </w:rPr>
        <w:t xml:space="preserve">, since the collection of tax and combating tax fraud </w:t>
      </w:r>
      <w:r w:rsidR="00370C17" w:rsidRPr="00AB3569">
        <w:rPr>
          <w:sz w:val="24"/>
          <w:szCs w:val="24"/>
          <w:lang w:val="en-US"/>
        </w:rPr>
        <w:t>should</w:t>
      </w:r>
      <w:r w:rsidR="00034D6F" w:rsidRPr="00AB3569">
        <w:rPr>
          <w:sz w:val="24"/>
          <w:szCs w:val="24"/>
          <w:lang w:val="en-US"/>
        </w:rPr>
        <w:t xml:space="preserve"> be regarded as tasks </w:t>
      </w:r>
      <w:r w:rsidR="00D60BAF" w:rsidRPr="00AB3569">
        <w:rPr>
          <w:sz w:val="24"/>
          <w:szCs w:val="24"/>
          <w:lang w:val="en-US"/>
        </w:rPr>
        <w:t>“</w:t>
      </w:r>
      <w:r w:rsidR="00034D6F" w:rsidRPr="00AB3569">
        <w:rPr>
          <w:sz w:val="24"/>
          <w:szCs w:val="24"/>
          <w:lang w:val="en-US"/>
        </w:rPr>
        <w:t xml:space="preserve">carried out in the public </w:t>
      </w:r>
      <w:r w:rsidR="00FF0DE3" w:rsidRPr="00AB3569">
        <w:rPr>
          <w:sz w:val="24"/>
          <w:szCs w:val="24"/>
          <w:lang w:val="en-US"/>
        </w:rPr>
        <w:t>interest</w:t>
      </w:r>
      <w:r w:rsidR="008F120C" w:rsidRPr="00AB3569">
        <w:rPr>
          <w:sz w:val="24"/>
          <w:szCs w:val="24"/>
          <w:lang w:val="en-US"/>
        </w:rPr>
        <w:t>,</w:t>
      </w:r>
      <w:r w:rsidR="00D60BAF" w:rsidRPr="00AB3569">
        <w:rPr>
          <w:sz w:val="24"/>
          <w:szCs w:val="24"/>
          <w:lang w:val="en-US"/>
        </w:rPr>
        <w:t>”</w:t>
      </w:r>
      <w:r w:rsidR="00370C17" w:rsidRPr="00AB3569">
        <w:rPr>
          <w:sz w:val="24"/>
          <w:szCs w:val="24"/>
          <w:lang w:val="en-US"/>
        </w:rPr>
        <w:t xml:space="preserve"> but </w:t>
      </w:r>
      <w:r w:rsidR="00FF0DE3" w:rsidRPr="00AB3569">
        <w:rPr>
          <w:sz w:val="24"/>
          <w:szCs w:val="24"/>
          <w:lang w:val="en-US"/>
        </w:rPr>
        <w:t>left it</w:t>
      </w:r>
      <w:r w:rsidR="00034D6F" w:rsidRPr="00AB3569">
        <w:rPr>
          <w:sz w:val="24"/>
          <w:szCs w:val="24"/>
          <w:lang w:val="en-US"/>
        </w:rPr>
        <w:t xml:space="preserve"> to the referring court to determine whether the </w:t>
      </w:r>
      <w:r w:rsidR="00370C17" w:rsidRPr="00AB3569">
        <w:rPr>
          <w:sz w:val="24"/>
          <w:szCs w:val="24"/>
          <w:lang w:val="en-US"/>
        </w:rPr>
        <w:t>national legislation had invested the Slovak tax authorities with such tasks</w:t>
      </w:r>
      <w:r w:rsidR="00034D6F" w:rsidRPr="00AB3569">
        <w:rPr>
          <w:sz w:val="24"/>
          <w:szCs w:val="24"/>
          <w:lang w:val="en-US"/>
        </w:rPr>
        <w:t>.</w:t>
      </w:r>
      <w:r w:rsidR="00370C17" w:rsidRPr="00AB3569">
        <w:rPr>
          <w:rStyle w:val="FootnoteReference"/>
          <w:sz w:val="24"/>
          <w:szCs w:val="24"/>
          <w:lang w:val="en-US"/>
        </w:rPr>
        <w:footnoteReference w:id="44"/>
      </w:r>
      <w:r w:rsidR="00034D6F" w:rsidRPr="00AB3569">
        <w:rPr>
          <w:sz w:val="24"/>
          <w:szCs w:val="24"/>
          <w:lang w:val="en-US"/>
        </w:rPr>
        <w:t xml:space="preserve"> </w:t>
      </w:r>
      <w:r w:rsidR="00B941A0" w:rsidRPr="00AB3569">
        <w:rPr>
          <w:sz w:val="24"/>
          <w:szCs w:val="24"/>
          <w:lang w:val="en-US"/>
        </w:rPr>
        <w:t xml:space="preserve">With reference to Article 6(1)(b), requiring that personal data be collected for </w:t>
      </w:r>
      <w:r w:rsidR="007D19A8" w:rsidRPr="00AB3569">
        <w:rPr>
          <w:sz w:val="24"/>
          <w:szCs w:val="24"/>
          <w:lang w:val="en-US"/>
        </w:rPr>
        <w:t xml:space="preserve">specific, </w:t>
      </w:r>
      <w:r w:rsidR="00B941A0" w:rsidRPr="00AB3569">
        <w:rPr>
          <w:sz w:val="24"/>
          <w:szCs w:val="24"/>
          <w:lang w:val="en-US"/>
        </w:rPr>
        <w:t>explicit and legitimate purposes, the Court emphasi</w:t>
      </w:r>
      <w:r w:rsidR="00B1495A" w:rsidRPr="00AB3569">
        <w:rPr>
          <w:sz w:val="24"/>
          <w:szCs w:val="24"/>
          <w:lang w:val="en-US"/>
        </w:rPr>
        <w:t>z</w:t>
      </w:r>
      <w:r w:rsidR="00B941A0" w:rsidRPr="00AB3569">
        <w:rPr>
          <w:sz w:val="24"/>
          <w:szCs w:val="24"/>
          <w:lang w:val="en-US"/>
        </w:rPr>
        <w:t>ed</w:t>
      </w:r>
      <w:r w:rsidR="007D19A8" w:rsidRPr="00AB3569">
        <w:rPr>
          <w:sz w:val="24"/>
          <w:szCs w:val="24"/>
          <w:lang w:val="en-US"/>
        </w:rPr>
        <w:t xml:space="preserve"> that the task transferred to</w:t>
      </w:r>
      <w:r w:rsidR="00B941A0" w:rsidRPr="00AB3569">
        <w:rPr>
          <w:sz w:val="24"/>
          <w:szCs w:val="24"/>
          <w:lang w:val="en-US"/>
        </w:rPr>
        <w:t xml:space="preserve"> the controller must include the purpose of the processing.</w:t>
      </w:r>
    </w:p>
    <w:p w14:paraId="0BE360FF" w14:textId="6CB7AC98" w:rsidR="00506CB7" w:rsidRPr="00AB3569" w:rsidRDefault="00B941A0" w:rsidP="00D10E55">
      <w:pPr>
        <w:rPr>
          <w:sz w:val="24"/>
          <w:szCs w:val="24"/>
          <w:lang w:val="en-US"/>
        </w:rPr>
      </w:pPr>
      <w:r w:rsidRPr="00AB3569">
        <w:rPr>
          <w:sz w:val="24"/>
          <w:szCs w:val="24"/>
          <w:lang w:val="en-US"/>
        </w:rPr>
        <w:t>It was lef</w:t>
      </w:r>
      <w:r w:rsidR="00116281" w:rsidRPr="00AB3569">
        <w:rPr>
          <w:sz w:val="24"/>
          <w:szCs w:val="24"/>
          <w:lang w:val="en-US"/>
        </w:rPr>
        <w:t>t</w:t>
      </w:r>
      <w:r w:rsidRPr="00AB3569">
        <w:rPr>
          <w:sz w:val="24"/>
          <w:szCs w:val="24"/>
          <w:lang w:val="en-US"/>
        </w:rPr>
        <w:t xml:space="preserve"> to </w:t>
      </w:r>
      <w:r w:rsidR="00F9661F" w:rsidRPr="00AB3569">
        <w:rPr>
          <w:sz w:val="24"/>
          <w:szCs w:val="24"/>
          <w:lang w:val="en-US"/>
        </w:rPr>
        <w:t xml:space="preserve">the referring court </w:t>
      </w:r>
      <w:r w:rsidRPr="00AB3569">
        <w:rPr>
          <w:sz w:val="24"/>
          <w:szCs w:val="24"/>
          <w:lang w:val="en-US"/>
        </w:rPr>
        <w:t xml:space="preserve">to </w:t>
      </w:r>
      <w:r w:rsidR="00F9661F" w:rsidRPr="00AB3569">
        <w:rPr>
          <w:sz w:val="24"/>
          <w:szCs w:val="24"/>
          <w:lang w:val="en-US"/>
        </w:rPr>
        <w:t>ascertain whether the drawing up of the list and the inclusion of the names of the data subjects</w:t>
      </w:r>
      <w:r w:rsidR="00FF0DE3" w:rsidRPr="00AB3569">
        <w:rPr>
          <w:sz w:val="24"/>
          <w:szCs w:val="24"/>
          <w:lang w:val="en-US"/>
        </w:rPr>
        <w:t xml:space="preserve"> were</w:t>
      </w:r>
      <w:r w:rsidR="00F9661F" w:rsidRPr="00AB3569">
        <w:rPr>
          <w:sz w:val="24"/>
          <w:szCs w:val="24"/>
          <w:lang w:val="en-US"/>
        </w:rPr>
        <w:t xml:space="preserve"> necessary and proportionate to the objective pursued.</w:t>
      </w:r>
      <w:r w:rsidR="00003E43" w:rsidRPr="00AB3569">
        <w:rPr>
          <w:rStyle w:val="FootnoteReference"/>
          <w:sz w:val="24"/>
          <w:szCs w:val="24"/>
          <w:lang w:val="en-US"/>
        </w:rPr>
        <w:footnoteReference w:id="45"/>
      </w:r>
      <w:r w:rsidR="00F9661F" w:rsidRPr="00AB3569">
        <w:rPr>
          <w:sz w:val="24"/>
          <w:szCs w:val="24"/>
          <w:lang w:val="en-US"/>
        </w:rPr>
        <w:t xml:space="preserve"> </w:t>
      </w:r>
      <w:r w:rsidR="00C92BA4" w:rsidRPr="00AB3569">
        <w:rPr>
          <w:sz w:val="24"/>
          <w:szCs w:val="24"/>
          <w:lang w:val="en-US"/>
        </w:rPr>
        <w:t xml:space="preserve">That notwithstanding, </w:t>
      </w:r>
      <w:r w:rsidR="00116281" w:rsidRPr="00AB3569">
        <w:rPr>
          <w:sz w:val="24"/>
          <w:szCs w:val="24"/>
          <w:lang w:val="en-US"/>
        </w:rPr>
        <w:t xml:space="preserve">the Court noted that since the placing of a person on the list is likely to infringe some of his rights – </w:t>
      </w:r>
      <w:r w:rsidR="000136B5" w:rsidRPr="00AB3569">
        <w:rPr>
          <w:sz w:val="24"/>
          <w:szCs w:val="24"/>
          <w:lang w:val="en-US"/>
        </w:rPr>
        <w:t>such as the presumption of innocence in Article 48 of the Charter</w:t>
      </w:r>
      <w:r w:rsidR="00116281" w:rsidRPr="00AB3569">
        <w:rPr>
          <w:sz w:val="24"/>
          <w:szCs w:val="24"/>
          <w:lang w:val="en-US"/>
        </w:rPr>
        <w:t xml:space="preserve"> – the measure was</w:t>
      </w:r>
      <w:r w:rsidR="006621F4" w:rsidRPr="00AB3569">
        <w:rPr>
          <w:sz w:val="24"/>
          <w:szCs w:val="24"/>
          <w:lang w:val="en-US"/>
        </w:rPr>
        <w:t xml:space="preserve"> proportionate only if there were</w:t>
      </w:r>
      <w:r w:rsidR="00116281" w:rsidRPr="00AB3569">
        <w:rPr>
          <w:sz w:val="24"/>
          <w:szCs w:val="24"/>
          <w:lang w:val="en-US"/>
        </w:rPr>
        <w:t xml:space="preserve"> sufficient grou</w:t>
      </w:r>
      <w:r w:rsidR="006621F4" w:rsidRPr="00AB3569">
        <w:rPr>
          <w:sz w:val="24"/>
          <w:szCs w:val="24"/>
          <w:lang w:val="en-US"/>
        </w:rPr>
        <w:t>nds to s</w:t>
      </w:r>
      <w:r w:rsidR="00116281" w:rsidRPr="00AB3569">
        <w:rPr>
          <w:sz w:val="24"/>
          <w:szCs w:val="24"/>
          <w:lang w:val="en-US"/>
        </w:rPr>
        <w:t>uspect that the person</w:t>
      </w:r>
      <w:r w:rsidR="00E403D6" w:rsidRPr="00AB3569">
        <w:rPr>
          <w:sz w:val="24"/>
          <w:szCs w:val="24"/>
          <w:lang w:val="en-US"/>
        </w:rPr>
        <w:t xml:space="preserve"> concerned acted as a </w:t>
      </w:r>
      <w:r w:rsidR="00116281" w:rsidRPr="00AB3569">
        <w:rPr>
          <w:sz w:val="24"/>
          <w:szCs w:val="24"/>
          <w:lang w:val="en-US"/>
        </w:rPr>
        <w:t xml:space="preserve">‘front’ </w:t>
      </w:r>
      <w:r w:rsidR="00E403D6" w:rsidRPr="00AB3569">
        <w:rPr>
          <w:sz w:val="24"/>
          <w:szCs w:val="24"/>
          <w:lang w:val="en-US"/>
        </w:rPr>
        <w:t>in a company director role</w:t>
      </w:r>
      <w:r w:rsidR="00116281" w:rsidRPr="00AB3569">
        <w:rPr>
          <w:sz w:val="24"/>
          <w:szCs w:val="24"/>
          <w:lang w:val="en-US"/>
        </w:rPr>
        <w:t>, thereby undermining the public interest in the collect</w:t>
      </w:r>
      <w:r w:rsidR="00E2631B" w:rsidRPr="00AB3569">
        <w:rPr>
          <w:sz w:val="24"/>
          <w:szCs w:val="24"/>
          <w:lang w:val="en-US"/>
        </w:rPr>
        <w:t>ion of tax and combating fraud.</w:t>
      </w:r>
      <w:r w:rsidR="00E2631B" w:rsidRPr="00AB3569">
        <w:rPr>
          <w:rStyle w:val="FootnoteReference"/>
          <w:sz w:val="24"/>
          <w:szCs w:val="24"/>
          <w:lang w:val="en-US"/>
        </w:rPr>
        <w:footnoteReference w:id="46"/>
      </w:r>
    </w:p>
    <w:p w14:paraId="5D653DBA" w14:textId="77777777" w:rsidR="00CC62B0" w:rsidRPr="00AB3569" w:rsidRDefault="00CC62B0" w:rsidP="00D10E55">
      <w:pPr>
        <w:rPr>
          <w:sz w:val="24"/>
          <w:szCs w:val="24"/>
          <w:lang w:val="en-US"/>
        </w:rPr>
      </w:pPr>
    </w:p>
    <w:p w14:paraId="2D0CC5C5" w14:textId="77777777" w:rsidR="00D54A4D" w:rsidRPr="00AB3569" w:rsidRDefault="00D54A4D" w:rsidP="00196519">
      <w:pPr>
        <w:pStyle w:val="ListParagraph"/>
        <w:numPr>
          <w:ilvl w:val="0"/>
          <w:numId w:val="1"/>
        </w:numPr>
        <w:rPr>
          <w:b/>
          <w:sz w:val="24"/>
          <w:szCs w:val="24"/>
          <w:lang w:val="en-US"/>
        </w:rPr>
      </w:pPr>
      <w:r w:rsidRPr="00AB3569">
        <w:rPr>
          <w:b/>
          <w:sz w:val="24"/>
          <w:szCs w:val="24"/>
          <w:lang w:val="en-US"/>
        </w:rPr>
        <w:t xml:space="preserve">Comments </w:t>
      </w:r>
    </w:p>
    <w:p w14:paraId="5E0BD3B5" w14:textId="50975C18" w:rsidR="00103F64" w:rsidRPr="00AB3569" w:rsidRDefault="00C4508E" w:rsidP="00103F64">
      <w:pPr>
        <w:rPr>
          <w:sz w:val="24"/>
          <w:szCs w:val="24"/>
          <w:lang w:val="en-US"/>
        </w:rPr>
      </w:pPr>
      <w:r w:rsidRPr="00AB3569">
        <w:rPr>
          <w:sz w:val="24"/>
          <w:szCs w:val="24"/>
          <w:lang w:val="en-US"/>
        </w:rPr>
        <w:t xml:space="preserve">The </w:t>
      </w:r>
      <w:r w:rsidR="006E621A" w:rsidRPr="00AB3569">
        <w:rPr>
          <w:i/>
          <w:noProof/>
          <w:sz w:val="24"/>
          <w:szCs w:val="24"/>
          <w:lang w:val="en-US"/>
        </w:rPr>
        <w:t>Puškár</w:t>
      </w:r>
      <w:r w:rsidRPr="00AB3569">
        <w:rPr>
          <w:sz w:val="24"/>
          <w:szCs w:val="24"/>
          <w:lang w:val="en-US"/>
        </w:rPr>
        <w:t xml:space="preserve"> case raises several interesting questions that </w:t>
      </w:r>
      <w:r w:rsidR="009978C7" w:rsidRPr="00AB3569">
        <w:rPr>
          <w:sz w:val="24"/>
          <w:szCs w:val="24"/>
          <w:lang w:val="en-US"/>
        </w:rPr>
        <w:t xml:space="preserve">are </w:t>
      </w:r>
      <w:r w:rsidR="00C92BA4" w:rsidRPr="00AB3569">
        <w:rPr>
          <w:sz w:val="24"/>
          <w:szCs w:val="24"/>
          <w:lang w:val="en-US"/>
        </w:rPr>
        <w:t>worthy of</w:t>
      </w:r>
      <w:r w:rsidRPr="00AB3569">
        <w:rPr>
          <w:sz w:val="24"/>
          <w:szCs w:val="24"/>
          <w:lang w:val="en-US"/>
        </w:rPr>
        <w:t xml:space="preserve"> </w:t>
      </w:r>
      <w:r w:rsidR="00C92BA4" w:rsidRPr="00AB3569">
        <w:rPr>
          <w:sz w:val="24"/>
          <w:szCs w:val="24"/>
          <w:lang w:val="en-US"/>
        </w:rPr>
        <w:t>discussion</w:t>
      </w:r>
      <w:r w:rsidRPr="00AB3569">
        <w:rPr>
          <w:sz w:val="24"/>
          <w:szCs w:val="24"/>
          <w:lang w:val="en-US"/>
        </w:rPr>
        <w:t xml:space="preserve">. Regrettably, the reference for a preliminary ruling did not provide the Court with an opportunity to express itself on </w:t>
      </w:r>
      <w:r w:rsidR="00012BA7" w:rsidRPr="00AB3569">
        <w:rPr>
          <w:sz w:val="24"/>
          <w:szCs w:val="24"/>
          <w:lang w:val="en-US"/>
        </w:rPr>
        <w:t xml:space="preserve">the interesting question as to how a national court should proceed if there seems to be a discrepancy between the case law stemming from the courts in Luxembourg and Strasbourg, pertaining to corresponding rights. </w:t>
      </w:r>
      <w:r w:rsidRPr="00AB3569">
        <w:rPr>
          <w:sz w:val="24"/>
          <w:szCs w:val="24"/>
          <w:lang w:val="en-US"/>
        </w:rPr>
        <w:t xml:space="preserve">This </w:t>
      </w:r>
      <w:r w:rsidR="00237AAB" w:rsidRPr="00AB3569">
        <w:rPr>
          <w:sz w:val="24"/>
          <w:szCs w:val="24"/>
          <w:lang w:val="en-US"/>
        </w:rPr>
        <w:t xml:space="preserve">particular concern </w:t>
      </w:r>
      <w:r w:rsidRPr="00AB3569">
        <w:rPr>
          <w:sz w:val="24"/>
          <w:szCs w:val="24"/>
          <w:lang w:val="en-US"/>
        </w:rPr>
        <w:t xml:space="preserve">will therefore be </w:t>
      </w:r>
      <w:r w:rsidR="00237AAB" w:rsidRPr="00AB3569">
        <w:rPr>
          <w:sz w:val="24"/>
          <w:szCs w:val="24"/>
          <w:lang w:val="en-US"/>
        </w:rPr>
        <w:t>omitted from</w:t>
      </w:r>
      <w:r w:rsidRPr="00AB3569">
        <w:rPr>
          <w:sz w:val="24"/>
          <w:szCs w:val="24"/>
          <w:lang w:val="en-US"/>
        </w:rPr>
        <w:t xml:space="preserve"> the following. </w:t>
      </w:r>
      <w:r w:rsidR="00473062" w:rsidRPr="00AB3569">
        <w:rPr>
          <w:sz w:val="24"/>
          <w:szCs w:val="24"/>
          <w:lang w:val="en-US"/>
        </w:rPr>
        <w:t>Moreover,</w:t>
      </w:r>
      <w:r w:rsidR="00012BA7" w:rsidRPr="00AB3569">
        <w:rPr>
          <w:sz w:val="24"/>
          <w:szCs w:val="24"/>
          <w:lang w:val="en-US"/>
        </w:rPr>
        <w:t xml:space="preserve"> the substantive aspects of the ruling, </w:t>
      </w:r>
      <w:r w:rsidR="00234763" w:rsidRPr="00AB3569">
        <w:rPr>
          <w:sz w:val="24"/>
          <w:szCs w:val="24"/>
          <w:lang w:val="en-US"/>
        </w:rPr>
        <w:t>including</w:t>
      </w:r>
      <w:r w:rsidR="00A218F5" w:rsidRPr="00AB3569">
        <w:rPr>
          <w:sz w:val="24"/>
          <w:szCs w:val="24"/>
          <w:lang w:val="en-US"/>
        </w:rPr>
        <w:t xml:space="preserve"> the close connection between the </w:t>
      </w:r>
      <w:r w:rsidR="00012BA7" w:rsidRPr="00AB3569">
        <w:rPr>
          <w:sz w:val="24"/>
          <w:szCs w:val="24"/>
          <w:lang w:val="en-US"/>
        </w:rPr>
        <w:t xml:space="preserve">lawful </w:t>
      </w:r>
      <w:r w:rsidR="00A218F5" w:rsidRPr="00AB3569">
        <w:rPr>
          <w:sz w:val="24"/>
          <w:szCs w:val="24"/>
          <w:lang w:val="en-US"/>
        </w:rPr>
        <w:t xml:space="preserve">grounds for </w:t>
      </w:r>
      <w:r w:rsidR="00012BA7" w:rsidRPr="00AB3569">
        <w:rPr>
          <w:sz w:val="24"/>
          <w:szCs w:val="24"/>
          <w:lang w:val="en-US"/>
        </w:rPr>
        <w:t xml:space="preserve">processing and </w:t>
      </w:r>
      <w:r w:rsidR="00A218F5" w:rsidRPr="00AB3569">
        <w:rPr>
          <w:sz w:val="24"/>
          <w:szCs w:val="24"/>
          <w:lang w:val="en-US"/>
        </w:rPr>
        <w:t>the prin</w:t>
      </w:r>
      <w:r w:rsidR="00362BDB" w:rsidRPr="00AB3569">
        <w:rPr>
          <w:sz w:val="24"/>
          <w:szCs w:val="24"/>
          <w:lang w:val="en-US"/>
        </w:rPr>
        <w:t>ciples relating to processing (in particular</w:t>
      </w:r>
      <w:r w:rsidR="00237AAB" w:rsidRPr="00AB3569">
        <w:rPr>
          <w:sz w:val="24"/>
          <w:szCs w:val="24"/>
          <w:lang w:val="en-US"/>
        </w:rPr>
        <w:t>,</w:t>
      </w:r>
      <w:r w:rsidR="00362BDB" w:rsidRPr="00AB3569">
        <w:rPr>
          <w:sz w:val="24"/>
          <w:szCs w:val="24"/>
          <w:lang w:val="en-US"/>
        </w:rPr>
        <w:t xml:space="preserve"> purpose limitation)</w:t>
      </w:r>
      <w:r w:rsidR="00237AAB" w:rsidRPr="00AB3569">
        <w:rPr>
          <w:sz w:val="24"/>
          <w:szCs w:val="24"/>
          <w:lang w:val="en-US"/>
        </w:rPr>
        <w:t xml:space="preserve"> </w:t>
      </w:r>
      <w:r w:rsidR="00A218F5" w:rsidRPr="00AB3569">
        <w:rPr>
          <w:sz w:val="24"/>
          <w:szCs w:val="24"/>
          <w:lang w:val="en-US"/>
        </w:rPr>
        <w:t>will be left to others to address.</w:t>
      </w:r>
      <w:r w:rsidR="00362BDB" w:rsidRPr="00AB3569">
        <w:rPr>
          <w:sz w:val="24"/>
          <w:szCs w:val="24"/>
          <w:lang w:val="en-US"/>
        </w:rPr>
        <w:t xml:space="preserve"> </w:t>
      </w:r>
      <w:r w:rsidR="00012BA7" w:rsidRPr="00AB3569">
        <w:rPr>
          <w:sz w:val="24"/>
          <w:szCs w:val="24"/>
          <w:lang w:val="en-US"/>
        </w:rPr>
        <w:t xml:space="preserve">This section considers two </w:t>
      </w:r>
      <w:r w:rsidR="00103F64" w:rsidRPr="00AB3569">
        <w:rPr>
          <w:sz w:val="24"/>
          <w:szCs w:val="24"/>
          <w:lang w:val="en-US"/>
        </w:rPr>
        <w:t>interesting aspects of the case</w:t>
      </w:r>
      <w:r w:rsidR="00E5112D" w:rsidRPr="00AB3569">
        <w:rPr>
          <w:sz w:val="24"/>
          <w:szCs w:val="24"/>
          <w:lang w:val="en-US"/>
        </w:rPr>
        <w:t>:</w:t>
      </w:r>
      <w:r w:rsidR="00012BA7" w:rsidRPr="00AB3569">
        <w:rPr>
          <w:sz w:val="24"/>
          <w:szCs w:val="24"/>
          <w:lang w:val="en-US"/>
        </w:rPr>
        <w:t xml:space="preserve"> </w:t>
      </w:r>
      <w:r w:rsidR="00012BA7" w:rsidRPr="00AB3569">
        <w:rPr>
          <w:i/>
          <w:sz w:val="24"/>
          <w:szCs w:val="24"/>
          <w:lang w:val="en-US"/>
        </w:rPr>
        <w:t>First</w:t>
      </w:r>
      <w:r w:rsidR="00103F64" w:rsidRPr="00AB3569">
        <w:rPr>
          <w:sz w:val="24"/>
          <w:szCs w:val="24"/>
          <w:lang w:val="en-US"/>
        </w:rPr>
        <w:t>, the extent to which the ruling sheds light on the relationship between the principle of effectiveness and the principle of effective judicial protection</w:t>
      </w:r>
      <w:r w:rsidR="000C61BC" w:rsidRPr="00AB3569">
        <w:rPr>
          <w:sz w:val="24"/>
          <w:szCs w:val="24"/>
          <w:lang w:val="en-US"/>
        </w:rPr>
        <w:t xml:space="preserve"> (section 5.1</w:t>
      </w:r>
      <w:r w:rsidR="00E5112D" w:rsidRPr="00AB3569">
        <w:rPr>
          <w:sz w:val="24"/>
          <w:szCs w:val="24"/>
          <w:lang w:val="en-US"/>
        </w:rPr>
        <w:t xml:space="preserve">); </w:t>
      </w:r>
      <w:r w:rsidR="00E5112D" w:rsidRPr="00AB3569">
        <w:rPr>
          <w:i/>
          <w:sz w:val="24"/>
          <w:szCs w:val="24"/>
          <w:lang w:val="en-US"/>
        </w:rPr>
        <w:t>s</w:t>
      </w:r>
      <w:r w:rsidR="00103F64" w:rsidRPr="00AB3569">
        <w:rPr>
          <w:i/>
          <w:sz w:val="24"/>
          <w:szCs w:val="24"/>
          <w:lang w:val="en-US"/>
        </w:rPr>
        <w:t>econd</w:t>
      </w:r>
      <w:r w:rsidR="00103F64" w:rsidRPr="00AB3569">
        <w:rPr>
          <w:sz w:val="24"/>
          <w:szCs w:val="24"/>
          <w:lang w:val="en-US"/>
        </w:rPr>
        <w:t>, the Court’s contribution to determining what constitutes the ‘essence’ of the right to effective judicial protection</w:t>
      </w:r>
      <w:r w:rsidR="00E5112D" w:rsidRPr="00AB3569">
        <w:rPr>
          <w:sz w:val="24"/>
          <w:szCs w:val="24"/>
          <w:lang w:val="en-US"/>
        </w:rPr>
        <w:t xml:space="preserve"> (</w:t>
      </w:r>
      <w:r w:rsidR="000C61BC" w:rsidRPr="00AB3569">
        <w:rPr>
          <w:sz w:val="24"/>
          <w:szCs w:val="24"/>
          <w:lang w:val="en-US"/>
        </w:rPr>
        <w:t xml:space="preserve">section 5.2). </w:t>
      </w:r>
    </w:p>
    <w:p w14:paraId="06C5A8FD" w14:textId="77777777" w:rsidR="001B12C9" w:rsidRPr="00AB3569" w:rsidRDefault="001B12C9" w:rsidP="007B4E66">
      <w:pPr>
        <w:rPr>
          <w:sz w:val="24"/>
          <w:szCs w:val="24"/>
          <w:lang w:val="en-US"/>
        </w:rPr>
      </w:pPr>
    </w:p>
    <w:p w14:paraId="67F0AA67" w14:textId="77777777" w:rsidR="001B12C9" w:rsidRPr="00AB3569" w:rsidRDefault="001B12C9" w:rsidP="00BD5289">
      <w:pPr>
        <w:pStyle w:val="ListParagraph"/>
        <w:numPr>
          <w:ilvl w:val="1"/>
          <w:numId w:val="1"/>
        </w:numPr>
        <w:rPr>
          <w:b/>
          <w:sz w:val="24"/>
          <w:szCs w:val="24"/>
          <w:lang w:val="en-US"/>
        </w:rPr>
      </w:pPr>
      <w:r w:rsidRPr="00AB3569">
        <w:rPr>
          <w:b/>
          <w:sz w:val="24"/>
          <w:szCs w:val="24"/>
          <w:lang w:val="en-US"/>
        </w:rPr>
        <w:t xml:space="preserve">Effectiveness and effective judicial protection: Two sides of the same coin? </w:t>
      </w:r>
    </w:p>
    <w:p w14:paraId="16C62FFA" w14:textId="3A8562D7" w:rsidR="00132E73" w:rsidRPr="00AB3569" w:rsidRDefault="001B12C9" w:rsidP="001B12C9">
      <w:pPr>
        <w:rPr>
          <w:sz w:val="24"/>
          <w:szCs w:val="24"/>
          <w:lang w:val="en-US"/>
        </w:rPr>
      </w:pPr>
      <w:r w:rsidRPr="00AB3569">
        <w:rPr>
          <w:sz w:val="24"/>
          <w:szCs w:val="24"/>
          <w:lang w:val="en-US"/>
        </w:rPr>
        <w:t>Several types of</w:t>
      </w:r>
      <w:r w:rsidR="00E578C5" w:rsidRPr="00AB3569">
        <w:rPr>
          <w:sz w:val="24"/>
          <w:szCs w:val="24"/>
          <w:lang w:val="en-US"/>
        </w:rPr>
        <w:t xml:space="preserve"> national procedural rule</w:t>
      </w:r>
      <w:r w:rsidR="00CA76FD" w:rsidRPr="00AB3569">
        <w:rPr>
          <w:sz w:val="24"/>
          <w:szCs w:val="24"/>
          <w:lang w:val="en-US"/>
        </w:rPr>
        <w:t>s</w:t>
      </w:r>
      <w:r w:rsidR="00E578C5" w:rsidRPr="00AB3569">
        <w:rPr>
          <w:sz w:val="24"/>
          <w:szCs w:val="24"/>
          <w:lang w:val="en-US"/>
        </w:rPr>
        <w:t xml:space="preserve"> may restrict</w:t>
      </w:r>
      <w:r w:rsidRPr="00AB3569">
        <w:rPr>
          <w:sz w:val="24"/>
          <w:szCs w:val="24"/>
          <w:lang w:val="en-US"/>
        </w:rPr>
        <w:t xml:space="preserve"> access to an effective remedy for individuals whose Union rights are impaired. </w:t>
      </w:r>
      <w:r w:rsidR="0006602E" w:rsidRPr="00AB3569">
        <w:rPr>
          <w:sz w:val="24"/>
          <w:szCs w:val="24"/>
          <w:lang w:val="en-US"/>
        </w:rPr>
        <w:t>Two e</w:t>
      </w:r>
      <w:r w:rsidRPr="00AB3569">
        <w:rPr>
          <w:sz w:val="24"/>
          <w:szCs w:val="24"/>
          <w:lang w:val="en-US"/>
        </w:rPr>
        <w:t>xamples ar</w:t>
      </w:r>
      <w:r w:rsidR="00EE42D8" w:rsidRPr="00AB3569">
        <w:rPr>
          <w:sz w:val="24"/>
          <w:szCs w:val="24"/>
          <w:lang w:val="en-US"/>
        </w:rPr>
        <w:t>e short time-limits to institute</w:t>
      </w:r>
      <w:r w:rsidRPr="00AB3569">
        <w:rPr>
          <w:sz w:val="24"/>
          <w:szCs w:val="24"/>
          <w:lang w:val="en-US"/>
        </w:rPr>
        <w:t xml:space="preserve"> legal proceedings</w:t>
      </w:r>
      <w:r w:rsidRPr="00AB3569">
        <w:rPr>
          <w:rStyle w:val="FootnoteReference"/>
          <w:sz w:val="24"/>
          <w:szCs w:val="24"/>
          <w:lang w:val="en-US"/>
        </w:rPr>
        <w:footnoteReference w:id="47"/>
      </w:r>
      <w:r w:rsidRPr="00AB3569">
        <w:rPr>
          <w:sz w:val="24"/>
          <w:szCs w:val="24"/>
          <w:lang w:val="en-US"/>
        </w:rPr>
        <w:t xml:space="preserve"> and high court fees.</w:t>
      </w:r>
      <w:r w:rsidRPr="00AB3569">
        <w:rPr>
          <w:rStyle w:val="FootnoteReference"/>
          <w:sz w:val="24"/>
          <w:szCs w:val="24"/>
          <w:lang w:val="en-US"/>
        </w:rPr>
        <w:footnoteReference w:id="48"/>
      </w:r>
      <w:r w:rsidRPr="00AB3569">
        <w:rPr>
          <w:sz w:val="24"/>
          <w:szCs w:val="24"/>
          <w:lang w:val="en-US"/>
        </w:rPr>
        <w:t xml:space="preserve"> When asked whether such rules violate Union law, the Court often refers to the principles of equivalence and effectiveness and effective judicial protection as limits to the procedural autonomy of Member States.</w:t>
      </w:r>
      <w:r w:rsidRPr="00AB3569">
        <w:rPr>
          <w:rStyle w:val="FootnoteReference"/>
          <w:sz w:val="24"/>
          <w:szCs w:val="24"/>
          <w:lang w:val="en-US"/>
        </w:rPr>
        <w:footnoteReference w:id="49"/>
      </w:r>
      <w:r w:rsidRPr="00AB3569">
        <w:rPr>
          <w:sz w:val="24"/>
          <w:szCs w:val="24"/>
          <w:lang w:val="en-US"/>
        </w:rPr>
        <w:t xml:space="preserve"> How the principle of effectiveness and effective judicial protection interrelate is not clea</w:t>
      </w:r>
      <w:r w:rsidR="001B2957" w:rsidRPr="00AB3569">
        <w:rPr>
          <w:sz w:val="24"/>
          <w:szCs w:val="24"/>
          <w:lang w:val="en-US"/>
        </w:rPr>
        <w:t>r, and the case law of the ECJ</w:t>
      </w:r>
      <w:r w:rsidRPr="00AB3569">
        <w:rPr>
          <w:sz w:val="24"/>
          <w:szCs w:val="24"/>
          <w:lang w:val="en-US"/>
        </w:rPr>
        <w:t xml:space="preserve"> is not consistent. The Court has held that the principle of effectiveness “embod</w:t>
      </w:r>
      <w:r w:rsidR="001C58E1" w:rsidRPr="00AB3569">
        <w:rPr>
          <w:sz w:val="24"/>
          <w:szCs w:val="24"/>
          <w:lang w:val="en-US"/>
        </w:rPr>
        <w:t>[ies]</w:t>
      </w:r>
      <w:r w:rsidRPr="00AB3569">
        <w:rPr>
          <w:sz w:val="24"/>
          <w:szCs w:val="24"/>
          <w:lang w:val="en-US"/>
        </w:rPr>
        <w:t xml:space="preserve"> the general obligation on the Member States to ensure judicial protection of an individual’s right under Community law”</w:t>
      </w:r>
      <w:r w:rsidRPr="00AB3569">
        <w:rPr>
          <w:rStyle w:val="FootnoteReference"/>
          <w:sz w:val="24"/>
          <w:szCs w:val="24"/>
          <w:lang w:val="en-US"/>
        </w:rPr>
        <w:footnoteReference w:id="50"/>
      </w:r>
      <w:r w:rsidR="00CE42B3" w:rsidRPr="00AB3569">
        <w:rPr>
          <w:sz w:val="24"/>
          <w:szCs w:val="24"/>
          <w:lang w:val="en-US"/>
        </w:rPr>
        <w:t xml:space="preserve"> or</w:t>
      </w:r>
      <w:r w:rsidRPr="00AB3569">
        <w:rPr>
          <w:sz w:val="24"/>
          <w:szCs w:val="24"/>
          <w:lang w:val="en-US"/>
        </w:rPr>
        <w:t xml:space="preserve"> that it “implies a requirement of judicial protection, guaranteed by Article 47 of the Charter.”</w:t>
      </w:r>
      <w:r w:rsidRPr="00AB3569">
        <w:rPr>
          <w:rStyle w:val="FootnoteReference"/>
          <w:sz w:val="24"/>
          <w:szCs w:val="24"/>
          <w:lang w:val="en-US"/>
        </w:rPr>
        <w:footnoteReference w:id="51"/>
      </w:r>
      <w:r w:rsidRPr="00AB3569">
        <w:rPr>
          <w:sz w:val="24"/>
          <w:szCs w:val="24"/>
          <w:lang w:val="en-US"/>
        </w:rPr>
        <w:t xml:space="preserve"> Yet there are also rulings where th</w:t>
      </w:r>
      <w:r w:rsidR="00FC1B39" w:rsidRPr="00AB3569">
        <w:rPr>
          <w:sz w:val="24"/>
          <w:szCs w:val="24"/>
          <w:lang w:val="en-US"/>
        </w:rPr>
        <w:t>e Court treats the</w:t>
      </w:r>
      <w:r w:rsidR="001C58E1" w:rsidRPr="00AB3569">
        <w:rPr>
          <w:sz w:val="24"/>
          <w:szCs w:val="24"/>
          <w:lang w:val="en-US"/>
        </w:rPr>
        <w:t>m</w:t>
      </w:r>
      <w:r w:rsidR="00FC1B39" w:rsidRPr="00AB3569">
        <w:rPr>
          <w:sz w:val="24"/>
          <w:szCs w:val="24"/>
          <w:lang w:val="en-US"/>
        </w:rPr>
        <w:t xml:space="preserve"> as different</w:t>
      </w:r>
      <w:r w:rsidRPr="00AB3569">
        <w:rPr>
          <w:sz w:val="24"/>
          <w:szCs w:val="24"/>
          <w:lang w:val="en-US"/>
        </w:rPr>
        <w:t xml:space="preserve"> principles that apply in parallel.</w:t>
      </w:r>
      <w:r w:rsidRPr="00AB3569">
        <w:rPr>
          <w:rStyle w:val="FootnoteReference"/>
          <w:sz w:val="24"/>
          <w:szCs w:val="24"/>
          <w:lang w:val="en-US"/>
        </w:rPr>
        <w:footnoteReference w:id="52"/>
      </w:r>
      <w:r w:rsidRPr="00AB3569">
        <w:rPr>
          <w:sz w:val="24"/>
          <w:szCs w:val="24"/>
          <w:lang w:val="en-US"/>
        </w:rPr>
        <w:t xml:space="preserve"> </w:t>
      </w:r>
    </w:p>
    <w:p w14:paraId="4C2B3547" w14:textId="1A587CBE" w:rsidR="001B12C9" w:rsidRPr="00AB3569" w:rsidRDefault="001B12C9" w:rsidP="001B12C9">
      <w:pPr>
        <w:rPr>
          <w:sz w:val="24"/>
          <w:szCs w:val="24"/>
          <w:lang w:val="en-US"/>
        </w:rPr>
      </w:pPr>
      <w:r w:rsidRPr="00AB3569">
        <w:rPr>
          <w:sz w:val="24"/>
          <w:szCs w:val="24"/>
          <w:lang w:val="en-US"/>
        </w:rPr>
        <w:t xml:space="preserve">At first glance, it could seem as if the Court took a stance on the matter in </w:t>
      </w:r>
      <w:r w:rsidR="006E621A" w:rsidRPr="00AB3569">
        <w:rPr>
          <w:i/>
          <w:noProof/>
          <w:sz w:val="24"/>
          <w:szCs w:val="24"/>
          <w:lang w:val="en-US"/>
        </w:rPr>
        <w:t>Puškár</w:t>
      </w:r>
      <w:r w:rsidRPr="00AB3569">
        <w:rPr>
          <w:sz w:val="24"/>
          <w:szCs w:val="24"/>
          <w:lang w:val="en-US"/>
        </w:rPr>
        <w:t>, and agreed with A</w:t>
      </w:r>
      <w:r w:rsidR="00DA4BDF" w:rsidRPr="00AB3569">
        <w:rPr>
          <w:sz w:val="24"/>
          <w:szCs w:val="24"/>
          <w:lang w:val="en-US"/>
        </w:rPr>
        <w:t xml:space="preserve">dvocate </w:t>
      </w:r>
      <w:r w:rsidRPr="00AB3569">
        <w:rPr>
          <w:sz w:val="24"/>
          <w:szCs w:val="24"/>
          <w:lang w:val="en-US"/>
        </w:rPr>
        <w:t>G</w:t>
      </w:r>
      <w:r w:rsidR="00DA4BDF" w:rsidRPr="00AB3569">
        <w:rPr>
          <w:sz w:val="24"/>
          <w:szCs w:val="24"/>
          <w:lang w:val="en-US"/>
        </w:rPr>
        <w:t>eneral</w:t>
      </w:r>
      <w:r w:rsidRPr="00AB3569">
        <w:rPr>
          <w:sz w:val="24"/>
          <w:szCs w:val="24"/>
          <w:lang w:val="en-US"/>
        </w:rPr>
        <w:t xml:space="preserve"> Kokott that the principle</w:t>
      </w:r>
      <w:r w:rsidR="001C58E1" w:rsidRPr="00AB3569">
        <w:rPr>
          <w:sz w:val="24"/>
          <w:szCs w:val="24"/>
          <w:lang w:val="en-US"/>
        </w:rPr>
        <w:t>s</w:t>
      </w:r>
      <w:r w:rsidRPr="00AB3569">
        <w:rPr>
          <w:sz w:val="24"/>
          <w:szCs w:val="24"/>
          <w:lang w:val="en-US"/>
        </w:rPr>
        <w:t xml:space="preserve"> of effectiveness and effective judicial protection “ultimately embody the same legal principle</w:t>
      </w:r>
      <w:r w:rsidR="001C58E1" w:rsidRPr="00AB3569">
        <w:rPr>
          <w:sz w:val="24"/>
          <w:szCs w:val="24"/>
          <w:lang w:val="en-US"/>
        </w:rPr>
        <w:t>.</w:t>
      </w:r>
      <w:r w:rsidRPr="00AB3569">
        <w:rPr>
          <w:sz w:val="24"/>
          <w:szCs w:val="24"/>
          <w:lang w:val="en-US"/>
        </w:rPr>
        <w:t>”</w:t>
      </w:r>
      <w:r w:rsidRPr="00AB3569">
        <w:rPr>
          <w:rStyle w:val="FootnoteReference"/>
          <w:sz w:val="24"/>
          <w:szCs w:val="24"/>
          <w:lang w:val="en-US"/>
        </w:rPr>
        <w:footnoteReference w:id="53"/>
      </w:r>
      <w:r w:rsidRPr="00AB3569">
        <w:rPr>
          <w:sz w:val="24"/>
          <w:szCs w:val="24"/>
          <w:lang w:val="en-US"/>
        </w:rPr>
        <w:t xml:space="preserve"> On closer inspection, however, the</w:t>
      </w:r>
      <w:r w:rsidR="00FC1B39" w:rsidRPr="00AB3569">
        <w:rPr>
          <w:sz w:val="24"/>
          <w:szCs w:val="24"/>
          <w:lang w:val="en-US"/>
        </w:rPr>
        <w:t xml:space="preserve"> Court was</w:t>
      </w:r>
      <w:r w:rsidRPr="00AB3569">
        <w:rPr>
          <w:sz w:val="24"/>
          <w:szCs w:val="24"/>
          <w:lang w:val="en-US"/>
        </w:rPr>
        <w:t xml:space="preserve"> a lot </w:t>
      </w:r>
      <w:r w:rsidR="001C58E1" w:rsidRPr="00AB3569">
        <w:rPr>
          <w:sz w:val="24"/>
          <w:szCs w:val="24"/>
          <w:lang w:val="en-US"/>
        </w:rPr>
        <w:t>less forthcoming</w:t>
      </w:r>
      <w:r w:rsidRPr="00AB3569">
        <w:rPr>
          <w:sz w:val="24"/>
          <w:szCs w:val="24"/>
          <w:lang w:val="en-US"/>
        </w:rPr>
        <w:t xml:space="preserve"> </w:t>
      </w:r>
      <w:r w:rsidR="001C58E1" w:rsidRPr="00AB3569">
        <w:rPr>
          <w:sz w:val="24"/>
          <w:szCs w:val="24"/>
          <w:lang w:val="en-US"/>
        </w:rPr>
        <w:t>on</w:t>
      </w:r>
      <w:r w:rsidRPr="00AB3569">
        <w:rPr>
          <w:sz w:val="24"/>
          <w:szCs w:val="24"/>
          <w:lang w:val="en-US"/>
        </w:rPr>
        <w:t xml:space="preserve"> the relationship bet</w:t>
      </w:r>
      <w:r w:rsidR="00FC1B39" w:rsidRPr="00AB3569">
        <w:rPr>
          <w:sz w:val="24"/>
          <w:szCs w:val="24"/>
          <w:lang w:val="en-US"/>
        </w:rPr>
        <w:t>ween the two principles. It did</w:t>
      </w:r>
      <w:r w:rsidRPr="00AB3569">
        <w:rPr>
          <w:sz w:val="24"/>
          <w:szCs w:val="24"/>
          <w:lang w:val="en-US"/>
        </w:rPr>
        <w:t xml:space="preserve"> not mention the principle of effect</w:t>
      </w:r>
      <w:r w:rsidR="00FC1B39" w:rsidRPr="00AB3569">
        <w:rPr>
          <w:sz w:val="24"/>
          <w:szCs w:val="24"/>
          <w:lang w:val="en-US"/>
        </w:rPr>
        <w:t>iveness at all, mer</w:t>
      </w:r>
      <w:r w:rsidR="001C58E1" w:rsidRPr="00AB3569">
        <w:rPr>
          <w:sz w:val="24"/>
          <w:szCs w:val="24"/>
          <w:lang w:val="en-US"/>
        </w:rPr>
        <w:t>e</w:t>
      </w:r>
      <w:r w:rsidR="00FC1B39" w:rsidRPr="00AB3569">
        <w:rPr>
          <w:sz w:val="24"/>
          <w:szCs w:val="24"/>
          <w:lang w:val="en-US"/>
        </w:rPr>
        <w:t>ly not</w:t>
      </w:r>
      <w:r w:rsidR="001C58E1" w:rsidRPr="00AB3569">
        <w:rPr>
          <w:sz w:val="24"/>
          <w:szCs w:val="24"/>
          <w:lang w:val="en-US"/>
        </w:rPr>
        <w:t>ing</w:t>
      </w:r>
      <w:r w:rsidRPr="00AB3569">
        <w:rPr>
          <w:sz w:val="24"/>
          <w:szCs w:val="24"/>
          <w:lang w:val="en-US"/>
        </w:rPr>
        <w:t xml:space="preserve"> that under the principle of sincere cooperation laid down in Article 4(3) TEU it is for the courts of the Member States to ensure </w:t>
      </w:r>
      <w:r w:rsidR="00C4049B" w:rsidRPr="00AB3569">
        <w:rPr>
          <w:sz w:val="24"/>
          <w:szCs w:val="24"/>
          <w:lang w:val="en-US"/>
        </w:rPr>
        <w:t xml:space="preserve">the </w:t>
      </w:r>
      <w:r w:rsidRPr="00AB3569">
        <w:rPr>
          <w:sz w:val="24"/>
          <w:szCs w:val="24"/>
          <w:lang w:val="en-US"/>
        </w:rPr>
        <w:t xml:space="preserve">judicial protection of a person’s rights under EU </w:t>
      </w:r>
      <w:r w:rsidR="00AF4DE8" w:rsidRPr="00AB3569">
        <w:rPr>
          <w:sz w:val="24"/>
          <w:szCs w:val="24"/>
          <w:lang w:val="en-US"/>
        </w:rPr>
        <w:t>law,</w:t>
      </w:r>
      <w:r w:rsidRPr="00AB3569">
        <w:rPr>
          <w:sz w:val="24"/>
          <w:szCs w:val="24"/>
          <w:lang w:val="en-US"/>
        </w:rPr>
        <w:t xml:space="preserve"> </w:t>
      </w:r>
      <w:r w:rsidR="00AF4DE8" w:rsidRPr="00AB3569">
        <w:rPr>
          <w:sz w:val="24"/>
          <w:szCs w:val="24"/>
          <w:lang w:val="en-US"/>
        </w:rPr>
        <w:t>and pursuant to Article 19(1) TEU they must provide remedies to that end.</w:t>
      </w:r>
      <w:r w:rsidR="00A14EF8" w:rsidRPr="00AB3569">
        <w:rPr>
          <w:rStyle w:val="FootnoteReference"/>
          <w:sz w:val="24"/>
          <w:szCs w:val="24"/>
          <w:lang w:val="en-US"/>
        </w:rPr>
        <w:footnoteReference w:id="54"/>
      </w:r>
      <w:r w:rsidR="00AF4DE8" w:rsidRPr="00AB3569">
        <w:rPr>
          <w:sz w:val="24"/>
          <w:szCs w:val="24"/>
          <w:lang w:val="en-US"/>
        </w:rPr>
        <w:t xml:space="preserve"> </w:t>
      </w:r>
      <w:r w:rsidR="009F05C9" w:rsidRPr="00AB3569">
        <w:rPr>
          <w:sz w:val="24"/>
          <w:szCs w:val="24"/>
          <w:lang w:val="en-US"/>
        </w:rPr>
        <w:t xml:space="preserve">The Court </w:t>
      </w:r>
      <w:r w:rsidR="00862960" w:rsidRPr="00AB3569">
        <w:rPr>
          <w:sz w:val="24"/>
          <w:szCs w:val="24"/>
          <w:lang w:val="en-US"/>
        </w:rPr>
        <w:t xml:space="preserve">took </w:t>
      </w:r>
      <w:r w:rsidR="002D28E7" w:rsidRPr="00AB3569">
        <w:rPr>
          <w:sz w:val="24"/>
          <w:szCs w:val="24"/>
          <w:lang w:val="en-US"/>
        </w:rPr>
        <w:t>the principle of effective judicial protection</w:t>
      </w:r>
      <w:r w:rsidR="00862960" w:rsidRPr="00AB3569">
        <w:rPr>
          <w:sz w:val="24"/>
          <w:szCs w:val="24"/>
          <w:lang w:val="en-US"/>
        </w:rPr>
        <w:t xml:space="preserve"> as its starting point</w:t>
      </w:r>
      <w:r w:rsidR="00C97212" w:rsidRPr="00AB3569">
        <w:rPr>
          <w:sz w:val="24"/>
          <w:szCs w:val="24"/>
          <w:lang w:val="en-US"/>
        </w:rPr>
        <w:t xml:space="preserve">, </w:t>
      </w:r>
      <w:r w:rsidR="00FC1B39" w:rsidRPr="00AB3569">
        <w:rPr>
          <w:sz w:val="24"/>
          <w:szCs w:val="24"/>
          <w:lang w:val="en-US"/>
        </w:rPr>
        <w:t>which had</w:t>
      </w:r>
      <w:r w:rsidR="00C97212" w:rsidRPr="00AB3569">
        <w:rPr>
          <w:sz w:val="24"/>
          <w:szCs w:val="24"/>
          <w:lang w:val="en-US"/>
        </w:rPr>
        <w:t xml:space="preserve"> </w:t>
      </w:r>
      <w:r w:rsidR="009F05C9" w:rsidRPr="00AB3569">
        <w:rPr>
          <w:sz w:val="24"/>
          <w:szCs w:val="24"/>
          <w:lang w:val="en-US"/>
        </w:rPr>
        <w:t xml:space="preserve">implications for how </w:t>
      </w:r>
      <w:r w:rsidR="00FC1B39" w:rsidRPr="00AB3569">
        <w:rPr>
          <w:sz w:val="24"/>
          <w:szCs w:val="24"/>
          <w:lang w:val="en-US"/>
        </w:rPr>
        <w:t>it</w:t>
      </w:r>
      <w:r w:rsidR="009F05C9" w:rsidRPr="00AB3569">
        <w:rPr>
          <w:sz w:val="24"/>
          <w:szCs w:val="24"/>
          <w:lang w:val="en-US"/>
        </w:rPr>
        <w:t xml:space="preserve"> scrutinize</w:t>
      </w:r>
      <w:r w:rsidR="00FC1B39" w:rsidRPr="00AB3569">
        <w:rPr>
          <w:sz w:val="24"/>
          <w:szCs w:val="24"/>
          <w:lang w:val="en-US"/>
        </w:rPr>
        <w:t>d</w:t>
      </w:r>
      <w:r w:rsidR="009F05C9" w:rsidRPr="00AB3569">
        <w:rPr>
          <w:sz w:val="24"/>
          <w:szCs w:val="24"/>
          <w:lang w:val="en-US"/>
        </w:rPr>
        <w:t xml:space="preserve"> the </w:t>
      </w:r>
      <w:r w:rsidR="00C97212" w:rsidRPr="00AB3569">
        <w:rPr>
          <w:sz w:val="24"/>
          <w:szCs w:val="24"/>
          <w:lang w:val="en-US"/>
        </w:rPr>
        <w:t>procedural</w:t>
      </w:r>
      <w:r w:rsidR="009F05C9" w:rsidRPr="00AB3569">
        <w:rPr>
          <w:sz w:val="24"/>
          <w:szCs w:val="24"/>
          <w:lang w:val="en-US"/>
        </w:rPr>
        <w:t xml:space="preserve"> measures in question. </w:t>
      </w:r>
      <w:r w:rsidR="00C13700" w:rsidRPr="00AB3569">
        <w:rPr>
          <w:sz w:val="24"/>
          <w:szCs w:val="24"/>
          <w:lang w:val="en-US"/>
        </w:rPr>
        <w:t>It</w:t>
      </w:r>
      <w:r w:rsidR="009F05C9" w:rsidRPr="00AB3569">
        <w:rPr>
          <w:sz w:val="24"/>
          <w:szCs w:val="24"/>
          <w:lang w:val="en-US"/>
        </w:rPr>
        <w:t xml:space="preserve"> use</w:t>
      </w:r>
      <w:r w:rsidR="00FC1B39" w:rsidRPr="00AB3569">
        <w:rPr>
          <w:sz w:val="24"/>
          <w:szCs w:val="24"/>
          <w:lang w:val="en-US"/>
        </w:rPr>
        <w:t>d</w:t>
      </w:r>
      <w:r w:rsidR="009F05C9" w:rsidRPr="00AB3569">
        <w:rPr>
          <w:sz w:val="24"/>
          <w:szCs w:val="24"/>
          <w:lang w:val="en-US"/>
        </w:rPr>
        <w:t xml:space="preserve"> the legitimate justification test laid down in Article 52(1), rather than the ‘procedural rule of reason’</w:t>
      </w:r>
      <w:r w:rsidR="00BB6353" w:rsidRPr="00AB3569">
        <w:rPr>
          <w:sz w:val="24"/>
          <w:szCs w:val="24"/>
          <w:lang w:val="en-US"/>
        </w:rPr>
        <w:t xml:space="preserve"> </w:t>
      </w:r>
      <w:r w:rsidR="009F05C9" w:rsidRPr="00AB3569">
        <w:rPr>
          <w:sz w:val="24"/>
          <w:szCs w:val="24"/>
          <w:lang w:val="en-US"/>
        </w:rPr>
        <w:t>test applicable under the principle of effectiveness.</w:t>
      </w:r>
      <w:r w:rsidR="009F05C9" w:rsidRPr="00AB3569">
        <w:rPr>
          <w:rStyle w:val="FootnoteReference"/>
          <w:sz w:val="24"/>
          <w:szCs w:val="24"/>
          <w:lang w:val="en-US"/>
        </w:rPr>
        <w:footnoteReference w:id="55"/>
      </w:r>
    </w:p>
    <w:p w14:paraId="30A7CC1F" w14:textId="3EB6AAAF" w:rsidR="001B12C9" w:rsidRPr="00AB3569" w:rsidRDefault="001B12C9" w:rsidP="001B12C9">
      <w:pPr>
        <w:rPr>
          <w:sz w:val="24"/>
          <w:szCs w:val="24"/>
          <w:lang w:val="en-US"/>
        </w:rPr>
      </w:pPr>
      <w:r w:rsidRPr="00AB3569">
        <w:rPr>
          <w:sz w:val="24"/>
          <w:szCs w:val="24"/>
          <w:lang w:val="en-US"/>
        </w:rPr>
        <w:t>This is not the first time the Court has ignored the Advocate General</w:t>
      </w:r>
      <w:r w:rsidR="00C4049B" w:rsidRPr="00AB3569">
        <w:rPr>
          <w:sz w:val="24"/>
          <w:szCs w:val="24"/>
          <w:lang w:val="en-US"/>
        </w:rPr>
        <w:t>’</w:t>
      </w:r>
      <w:r w:rsidRPr="00AB3569">
        <w:rPr>
          <w:sz w:val="24"/>
          <w:szCs w:val="24"/>
          <w:lang w:val="en-US"/>
        </w:rPr>
        <w:t>s call to clarify the relationship between the two principles.</w:t>
      </w:r>
      <w:r w:rsidR="006475B7" w:rsidRPr="00AB3569">
        <w:rPr>
          <w:sz w:val="24"/>
          <w:szCs w:val="24"/>
          <w:lang w:val="en-US"/>
        </w:rPr>
        <w:t xml:space="preserve"> </w:t>
      </w:r>
      <w:r w:rsidRPr="00AB3569">
        <w:rPr>
          <w:sz w:val="24"/>
          <w:szCs w:val="24"/>
          <w:lang w:val="en-US"/>
        </w:rPr>
        <w:t xml:space="preserve">In </w:t>
      </w:r>
      <w:r w:rsidR="00F90B91" w:rsidRPr="00AB3569">
        <w:rPr>
          <w:sz w:val="24"/>
          <w:szCs w:val="24"/>
          <w:lang w:val="en-US"/>
        </w:rPr>
        <w:t>his opinion</w:t>
      </w:r>
      <w:r w:rsidRPr="00AB3569">
        <w:rPr>
          <w:sz w:val="24"/>
          <w:szCs w:val="24"/>
          <w:lang w:val="en-US"/>
        </w:rPr>
        <w:t xml:space="preserve"> in </w:t>
      </w:r>
      <w:r w:rsidRPr="00AB3569">
        <w:rPr>
          <w:i/>
          <w:sz w:val="24"/>
          <w:szCs w:val="24"/>
          <w:lang w:val="en-US"/>
        </w:rPr>
        <w:t>Finanmadrid</w:t>
      </w:r>
      <w:r w:rsidRPr="00AB3569">
        <w:rPr>
          <w:sz w:val="24"/>
          <w:szCs w:val="24"/>
          <w:lang w:val="en-US"/>
        </w:rPr>
        <w:t>,</w:t>
      </w:r>
      <w:r w:rsidR="00826F4C" w:rsidRPr="00AB3569">
        <w:rPr>
          <w:sz w:val="24"/>
          <w:szCs w:val="24"/>
          <w:lang w:val="en-US"/>
        </w:rPr>
        <w:t xml:space="preserve"> for instance,</w:t>
      </w:r>
      <w:r w:rsidRPr="00AB3569">
        <w:rPr>
          <w:sz w:val="24"/>
          <w:szCs w:val="24"/>
          <w:lang w:val="en-US"/>
        </w:rPr>
        <w:t xml:space="preserve"> the Advocate General addressed head-on the interrelationship between the two prin</w:t>
      </w:r>
      <w:r w:rsidR="00673354" w:rsidRPr="00AB3569">
        <w:rPr>
          <w:sz w:val="24"/>
          <w:szCs w:val="24"/>
          <w:lang w:val="en-US"/>
        </w:rPr>
        <w:t>c</w:t>
      </w:r>
      <w:r w:rsidRPr="00AB3569">
        <w:rPr>
          <w:sz w:val="24"/>
          <w:szCs w:val="24"/>
          <w:lang w:val="en-US"/>
        </w:rPr>
        <w:t>iples,</w:t>
      </w:r>
      <w:r w:rsidR="00581805" w:rsidRPr="00AB3569">
        <w:rPr>
          <w:rStyle w:val="FootnoteReference"/>
          <w:sz w:val="24"/>
          <w:szCs w:val="24"/>
          <w:lang w:val="en-US"/>
        </w:rPr>
        <w:footnoteReference w:id="56"/>
      </w:r>
      <w:r w:rsidRPr="00AB3569">
        <w:rPr>
          <w:sz w:val="24"/>
          <w:szCs w:val="24"/>
          <w:lang w:val="en-US"/>
        </w:rPr>
        <w:t xml:space="preserve"> but the Court do</w:t>
      </w:r>
      <w:r w:rsidR="00673354" w:rsidRPr="00AB3569">
        <w:rPr>
          <w:sz w:val="24"/>
          <w:szCs w:val="24"/>
          <w:lang w:val="en-US"/>
        </w:rPr>
        <w:t>d</w:t>
      </w:r>
      <w:r w:rsidRPr="00AB3569">
        <w:rPr>
          <w:sz w:val="24"/>
          <w:szCs w:val="24"/>
          <w:lang w:val="en-US"/>
        </w:rPr>
        <w:t>ged the issue without further analysis.</w:t>
      </w:r>
      <w:r w:rsidRPr="00AB3569">
        <w:rPr>
          <w:rStyle w:val="FootnoteReference"/>
          <w:sz w:val="24"/>
          <w:szCs w:val="24"/>
          <w:lang w:val="en-US"/>
        </w:rPr>
        <w:footnoteReference w:id="57"/>
      </w:r>
      <w:r w:rsidRPr="00AB3569">
        <w:rPr>
          <w:sz w:val="24"/>
          <w:szCs w:val="24"/>
          <w:lang w:val="en-US"/>
        </w:rPr>
        <w:t xml:space="preserve"> Legal scholars have attempted to make sense of the Court’s case law pertaining to the two principles.</w:t>
      </w:r>
      <w:r w:rsidRPr="00AB3569">
        <w:rPr>
          <w:rStyle w:val="FootnoteReference"/>
          <w:sz w:val="24"/>
          <w:szCs w:val="24"/>
          <w:lang w:val="en-US"/>
        </w:rPr>
        <w:footnoteReference w:id="58"/>
      </w:r>
      <w:r w:rsidRPr="00AB3569">
        <w:rPr>
          <w:sz w:val="24"/>
          <w:szCs w:val="24"/>
          <w:lang w:val="en-US"/>
        </w:rPr>
        <w:t xml:space="preserve"> It has, for example, been argued that procedural rules which obstr</w:t>
      </w:r>
      <w:r w:rsidR="00673354" w:rsidRPr="00AB3569">
        <w:rPr>
          <w:sz w:val="24"/>
          <w:szCs w:val="24"/>
          <w:lang w:val="en-US"/>
        </w:rPr>
        <w:t>u</w:t>
      </w:r>
      <w:r w:rsidRPr="00AB3569">
        <w:rPr>
          <w:sz w:val="24"/>
          <w:szCs w:val="24"/>
          <w:lang w:val="en-US"/>
        </w:rPr>
        <w:t xml:space="preserve">ct </w:t>
      </w:r>
      <w:r w:rsidRPr="00AB3569">
        <w:rPr>
          <w:i/>
          <w:sz w:val="24"/>
          <w:szCs w:val="24"/>
          <w:lang w:val="en-US"/>
        </w:rPr>
        <w:t xml:space="preserve">access </w:t>
      </w:r>
      <w:r w:rsidR="00362BDB" w:rsidRPr="00AB3569">
        <w:rPr>
          <w:sz w:val="24"/>
          <w:szCs w:val="24"/>
          <w:lang w:val="en-US"/>
        </w:rPr>
        <w:t>to judicial process</w:t>
      </w:r>
      <w:r w:rsidRPr="00AB3569">
        <w:rPr>
          <w:sz w:val="24"/>
          <w:szCs w:val="24"/>
          <w:lang w:val="en-US"/>
        </w:rPr>
        <w:t xml:space="preserve"> must be assessed with reference to the principle of effective judicial protection, whereas restrictive rules that apply in the </w:t>
      </w:r>
      <w:r w:rsidRPr="00AB3569">
        <w:rPr>
          <w:i/>
          <w:sz w:val="24"/>
          <w:szCs w:val="24"/>
          <w:lang w:val="en-US"/>
        </w:rPr>
        <w:t>subsequent legal proceedings</w:t>
      </w:r>
      <w:r w:rsidRPr="00AB3569">
        <w:rPr>
          <w:sz w:val="24"/>
          <w:szCs w:val="24"/>
          <w:lang w:val="en-US"/>
        </w:rPr>
        <w:t xml:space="preserve"> must be as</w:t>
      </w:r>
      <w:r w:rsidR="00673354" w:rsidRPr="00AB3569">
        <w:rPr>
          <w:sz w:val="24"/>
          <w:szCs w:val="24"/>
          <w:lang w:val="en-US"/>
        </w:rPr>
        <w:t>s</w:t>
      </w:r>
      <w:r w:rsidRPr="00AB3569">
        <w:rPr>
          <w:sz w:val="24"/>
          <w:szCs w:val="24"/>
          <w:lang w:val="en-US"/>
        </w:rPr>
        <w:t>essed against the requirement of effectiveness.</w:t>
      </w:r>
      <w:r w:rsidRPr="00AB3569">
        <w:rPr>
          <w:rStyle w:val="FootnoteReference"/>
          <w:sz w:val="24"/>
          <w:szCs w:val="24"/>
          <w:lang w:val="en-US"/>
        </w:rPr>
        <w:footnoteReference w:id="59"/>
      </w:r>
      <w:r w:rsidRPr="00AB3569">
        <w:rPr>
          <w:sz w:val="24"/>
          <w:szCs w:val="24"/>
          <w:lang w:val="en-US"/>
        </w:rPr>
        <w:t xml:space="preserve"> There is admittedly some support for this </w:t>
      </w:r>
      <w:r w:rsidR="00E27E82" w:rsidRPr="00AB3569">
        <w:rPr>
          <w:sz w:val="24"/>
          <w:szCs w:val="24"/>
          <w:lang w:val="en-US"/>
        </w:rPr>
        <w:t xml:space="preserve">distinction </w:t>
      </w:r>
      <w:r w:rsidRPr="00AB3569">
        <w:rPr>
          <w:sz w:val="24"/>
          <w:szCs w:val="24"/>
          <w:lang w:val="en-US"/>
        </w:rPr>
        <w:t xml:space="preserve">in the jurisprudence of the Court. In </w:t>
      </w:r>
      <w:r w:rsidRPr="00AB3569">
        <w:rPr>
          <w:i/>
          <w:sz w:val="24"/>
          <w:szCs w:val="24"/>
          <w:lang w:val="en-US"/>
        </w:rPr>
        <w:t>DEB</w:t>
      </w:r>
      <w:r w:rsidRPr="00AB3569">
        <w:rPr>
          <w:sz w:val="24"/>
          <w:szCs w:val="24"/>
          <w:lang w:val="en-US"/>
        </w:rPr>
        <w:t>, the Court was asked whether a company was entitled to legal aid under the Charter, and found it necessary to “recast the question referred [as to the principle of effectiveness] so tha</w:t>
      </w:r>
      <w:r w:rsidR="00E93B56" w:rsidRPr="00AB3569">
        <w:rPr>
          <w:sz w:val="24"/>
          <w:szCs w:val="24"/>
          <w:lang w:val="en-US"/>
        </w:rPr>
        <w:t>t it relates to the interpretati</w:t>
      </w:r>
      <w:r w:rsidRPr="00AB3569">
        <w:rPr>
          <w:sz w:val="24"/>
          <w:szCs w:val="24"/>
          <w:lang w:val="en-US"/>
        </w:rPr>
        <w:t>on of the principle of effective judicial protection as enshrined in Article 47 of the Charter.” There are, however, also rulings which do not fit this pattern.</w:t>
      </w:r>
      <w:r w:rsidR="00E703B7" w:rsidRPr="00AB3569">
        <w:rPr>
          <w:rStyle w:val="FootnoteReference"/>
          <w:sz w:val="24"/>
          <w:szCs w:val="24"/>
          <w:lang w:val="en-US"/>
        </w:rPr>
        <w:footnoteReference w:id="60"/>
      </w:r>
      <w:r w:rsidRPr="00AB3569">
        <w:rPr>
          <w:sz w:val="24"/>
          <w:szCs w:val="24"/>
          <w:lang w:val="en-US"/>
        </w:rPr>
        <w:t xml:space="preserve"> Questions pertaining to time</w:t>
      </w:r>
      <w:r w:rsidR="00673354" w:rsidRPr="00AB3569">
        <w:rPr>
          <w:sz w:val="24"/>
          <w:szCs w:val="24"/>
          <w:lang w:val="en-US"/>
        </w:rPr>
        <w:t>-</w:t>
      </w:r>
      <w:r w:rsidRPr="00AB3569">
        <w:rPr>
          <w:sz w:val="24"/>
          <w:szCs w:val="24"/>
          <w:lang w:val="en-US"/>
        </w:rPr>
        <w:t>limits have, for instance, regularly been scrutinized for compliance with the principle of effectiveness.</w:t>
      </w:r>
      <w:r w:rsidRPr="00AB3569">
        <w:rPr>
          <w:rStyle w:val="FootnoteReference"/>
          <w:sz w:val="24"/>
          <w:szCs w:val="24"/>
          <w:lang w:val="en-US"/>
        </w:rPr>
        <w:footnoteReference w:id="61"/>
      </w:r>
      <w:r w:rsidR="00E93B56" w:rsidRPr="00AB3569">
        <w:rPr>
          <w:sz w:val="24"/>
          <w:szCs w:val="24"/>
          <w:lang w:val="en-US"/>
        </w:rPr>
        <w:t xml:space="preserve"> </w:t>
      </w:r>
    </w:p>
    <w:p w14:paraId="304E873F" w14:textId="2B0E59F2" w:rsidR="001B12C9" w:rsidRPr="00AB3569" w:rsidRDefault="001B12C9" w:rsidP="001B12C9">
      <w:pPr>
        <w:rPr>
          <w:sz w:val="24"/>
          <w:szCs w:val="24"/>
          <w:lang w:val="en-US"/>
        </w:rPr>
      </w:pPr>
      <w:r w:rsidRPr="00AB3569">
        <w:rPr>
          <w:sz w:val="24"/>
          <w:szCs w:val="24"/>
          <w:lang w:val="en-US"/>
        </w:rPr>
        <w:t>In recent case law, the Court has increasingly tended to base its reasoning solely on the principle of effective judicial protection, now enshrined in Article 47 of the Charter, making no mention of the principle of effectiveness.</w:t>
      </w:r>
      <w:r w:rsidRPr="00AB3569">
        <w:rPr>
          <w:rStyle w:val="FootnoteReference"/>
          <w:sz w:val="24"/>
          <w:szCs w:val="24"/>
          <w:lang w:val="en-US"/>
        </w:rPr>
        <w:footnoteReference w:id="62"/>
      </w:r>
      <w:r w:rsidRPr="00AB3569">
        <w:rPr>
          <w:sz w:val="24"/>
          <w:szCs w:val="24"/>
          <w:lang w:val="en-US"/>
        </w:rPr>
        <w:t xml:space="preserve"> In </w:t>
      </w:r>
      <w:r w:rsidR="006E621A" w:rsidRPr="00AB3569">
        <w:rPr>
          <w:i/>
          <w:noProof/>
          <w:sz w:val="24"/>
          <w:szCs w:val="24"/>
          <w:lang w:val="en-US"/>
        </w:rPr>
        <w:t>Puškár</w:t>
      </w:r>
      <w:r w:rsidRPr="00AB3569">
        <w:rPr>
          <w:sz w:val="24"/>
          <w:szCs w:val="24"/>
          <w:lang w:val="en-US"/>
        </w:rPr>
        <w:t xml:space="preserve">, domestic rules on admissible evidence were scrutinized with reference to the principle of effective judicial protection, making a contrast to the Court’s </w:t>
      </w:r>
      <w:r w:rsidR="00BB6CDC" w:rsidRPr="00AB3569">
        <w:rPr>
          <w:sz w:val="24"/>
          <w:szCs w:val="24"/>
          <w:lang w:val="en-US"/>
        </w:rPr>
        <w:t xml:space="preserve">earlier </w:t>
      </w:r>
      <w:r w:rsidRPr="00AB3569">
        <w:rPr>
          <w:sz w:val="24"/>
          <w:szCs w:val="24"/>
          <w:lang w:val="en-US"/>
        </w:rPr>
        <w:t>ruling</w:t>
      </w:r>
      <w:r w:rsidR="009C76BD" w:rsidRPr="00AB3569">
        <w:rPr>
          <w:sz w:val="24"/>
          <w:szCs w:val="24"/>
          <w:lang w:val="en-US"/>
        </w:rPr>
        <w:t>s</w:t>
      </w:r>
      <w:r w:rsidRPr="00AB3569">
        <w:rPr>
          <w:sz w:val="24"/>
          <w:szCs w:val="24"/>
          <w:lang w:val="en-US"/>
        </w:rPr>
        <w:t>, where comparable rules were examined for compliance with the principle of effectiveness.</w:t>
      </w:r>
      <w:r w:rsidR="005225D0" w:rsidRPr="00AB3569">
        <w:rPr>
          <w:rStyle w:val="FootnoteReference"/>
          <w:sz w:val="24"/>
          <w:szCs w:val="24"/>
          <w:lang w:val="en-US"/>
        </w:rPr>
        <w:footnoteReference w:id="63"/>
      </w:r>
      <w:r w:rsidRPr="00AB3569">
        <w:rPr>
          <w:sz w:val="24"/>
          <w:szCs w:val="24"/>
          <w:lang w:val="en-US"/>
        </w:rPr>
        <w:t xml:space="preserve"> Yet to assume that Article 47 of the Charter has replaced t</w:t>
      </w:r>
      <w:r w:rsidR="0026610F" w:rsidRPr="00AB3569">
        <w:rPr>
          <w:sz w:val="24"/>
          <w:szCs w:val="24"/>
          <w:lang w:val="en-US"/>
        </w:rPr>
        <w:t>he principle of effectiveness would be</w:t>
      </w:r>
      <w:r w:rsidRPr="00AB3569">
        <w:rPr>
          <w:sz w:val="24"/>
          <w:szCs w:val="24"/>
          <w:lang w:val="en-US"/>
        </w:rPr>
        <w:t xml:space="preserve"> </w:t>
      </w:r>
      <w:r w:rsidR="00AC0BB8" w:rsidRPr="00AB3569">
        <w:rPr>
          <w:sz w:val="24"/>
          <w:szCs w:val="24"/>
          <w:lang w:val="en-US"/>
        </w:rPr>
        <w:t xml:space="preserve">too </w:t>
      </w:r>
      <w:r w:rsidRPr="00AB3569">
        <w:rPr>
          <w:sz w:val="24"/>
          <w:szCs w:val="24"/>
          <w:lang w:val="en-US"/>
        </w:rPr>
        <w:t xml:space="preserve">hasty </w:t>
      </w:r>
      <w:r w:rsidR="00AC0BB8" w:rsidRPr="00AB3569">
        <w:rPr>
          <w:sz w:val="24"/>
          <w:szCs w:val="24"/>
          <w:lang w:val="en-US"/>
        </w:rPr>
        <w:t xml:space="preserve">a </w:t>
      </w:r>
      <w:r w:rsidRPr="00AB3569">
        <w:rPr>
          <w:sz w:val="24"/>
          <w:szCs w:val="24"/>
          <w:lang w:val="en-US"/>
        </w:rPr>
        <w:t xml:space="preserve">conclusion. The principle of effectiveness </w:t>
      </w:r>
      <w:r w:rsidR="00AC0BB8" w:rsidRPr="00AB3569">
        <w:rPr>
          <w:sz w:val="24"/>
          <w:szCs w:val="24"/>
          <w:lang w:val="en-US"/>
        </w:rPr>
        <w:t xml:space="preserve">does </w:t>
      </w:r>
      <w:r w:rsidRPr="00AB3569">
        <w:rPr>
          <w:sz w:val="24"/>
          <w:szCs w:val="24"/>
          <w:lang w:val="en-US"/>
        </w:rPr>
        <w:t>indeed seem to be alive and kicking.</w:t>
      </w:r>
      <w:r w:rsidRPr="00AB3569">
        <w:rPr>
          <w:rStyle w:val="FootnoteReference"/>
          <w:sz w:val="24"/>
          <w:szCs w:val="24"/>
          <w:lang w:val="en-US"/>
        </w:rPr>
        <w:footnoteReference w:id="64"/>
      </w:r>
      <w:r w:rsidRPr="00AB3569">
        <w:rPr>
          <w:sz w:val="24"/>
          <w:szCs w:val="24"/>
          <w:lang w:val="en-US"/>
        </w:rPr>
        <w:t xml:space="preserve"> </w:t>
      </w:r>
      <w:r w:rsidR="0026610F" w:rsidRPr="00AB3569">
        <w:rPr>
          <w:sz w:val="24"/>
          <w:szCs w:val="24"/>
          <w:lang w:val="en-US"/>
        </w:rPr>
        <w:t>Unfortunately, t</w:t>
      </w:r>
      <w:r w:rsidR="004203DF" w:rsidRPr="00AB3569">
        <w:rPr>
          <w:sz w:val="24"/>
          <w:szCs w:val="24"/>
          <w:lang w:val="en-US"/>
        </w:rPr>
        <w:t>he</w:t>
      </w:r>
      <w:r w:rsidR="002744E1" w:rsidRPr="00AB3569">
        <w:rPr>
          <w:sz w:val="24"/>
          <w:szCs w:val="24"/>
          <w:lang w:val="en-US"/>
        </w:rPr>
        <w:t xml:space="preserve"> Court </w:t>
      </w:r>
      <w:r w:rsidR="00AC0BB8" w:rsidRPr="00AB3569">
        <w:rPr>
          <w:sz w:val="24"/>
          <w:szCs w:val="24"/>
          <w:lang w:val="en-US"/>
        </w:rPr>
        <w:t xml:space="preserve">did </w:t>
      </w:r>
      <w:r w:rsidR="00CE42B3" w:rsidRPr="00AB3569">
        <w:rPr>
          <w:sz w:val="24"/>
          <w:szCs w:val="24"/>
          <w:lang w:val="en-US"/>
        </w:rPr>
        <w:t>not clarif</w:t>
      </w:r>
      <w:r w:rsidR="00AC0BB8" w:rsidRPr="00AB3569">
        <w:rPr>
          <w:sz w:val="24"/>
          <w:szCs w:val="24"/>
          <w:lang w:val="en-US"/>
        </w:rPr>
        <w:t>y</w:t>
      </w:r>
      <w:r w:rsidR="002744E1" w:rsidRPr="00AB3569">
        <w:rPr>
          <w:sz w:val="24"/>
          <w:szCs w:val="24"/>
          <w:lang w:val="en-US"/>
        </w:rPr>
        <w:t xml:space="preserve"> the relationship between the two principles in </w:t>
      </w:r>
      <w:r w:rsidR="006E621A" w:rsidRPr="00AB3569">
        <w:rPr>
          <w:i/>
          <w:noProof/>
          <w:sz w:val="24"/>
          <w:szCs w:val="24"/>
          <w:lang w:val="en-US"/>
        </w:rPr>
        <w:t>Puškár</w:t>
      </w:r>
      <w:r w:rsidR="000E6FE0" w:rsidRPr="00AB3569">
        <w:rPr>
          <w:sz w:val="24"/>
          <w:szCs w:val="24"/>
          <w:lang w:val="en-US"/>
        </w:rPr>
        <w:t xml:space="preserve">. </w:t>
      </w:r>
    </w:p>
    <w:p w14:paraId="4FA74863" w14:textId="7DD65BF3" w:rsidR="001B12C9" w:rsidRPr="00AB3569" w:rsidRDefault="001B12C9" w:rsidP="001B12C9">
      <w:pPr>
        <w:rPr>
          <w:sz w:val="24"/>
          <w:szCs w:val="24"/>
          <w:lang w:val="en-US"/>
        </w:rPr>
      </w:pPr>
      <w:r w:rsidRPr="00AB3569">
        <w:rPr>
          <w:sz w:val="24"/>
          <w:szCs w:val="24"/>
          <w:lang w:val="en-US"/>
        </w:rPr>
        <w:t>The requirements flowing from the principles are quite similar, and an examination under the principles may often lead to the same results.</w:t>
      </w:r>
      <w:r w:rsidRPr="00AB3569">
        <w:rPr>
          <w:rStyle w:val="FootnoteReference"/>
          <w:sz w:val="24"/>
          <w:szCs w:val="24"/>
          <w:lang w:val="en-US"/>
        </w:rPr>
        <w:footnoteReference w:id="65"/>
      </w:r>
      <w:r w:rsidRPr="00AB3569">
        <w:rPr>
          <w:sz w:val="24"/>
          <w:szCs w:val="24"/>
          <w:lang w:val="en-US"/>
        </w:rPr>
        <w:t xml:space="preserve"> There are neve</w:t>
      </w:r>
      <w:r w:rsidR="00A06826" w:rsidRPr="00AB3569">
        <w:rPr>
          <w:sz w:val="24"/>
          <w:szCs w:val="24"/>
          <w:lang w:val="en-US"/>
        </w:rPr>
        <w:t>rtheless differences that merit</w:t>
      </w:r>
      <w:r w:rsidRPr="00AB3569">
        <w:rPr>
          <w:sz w:val="24"/>
          <w:szCs w:val="24"/>
          <w:lang w:val="en-US"/>
        </w:rPr>
        <w:t xml:space="preserve"> consideration.</w:t>
      </w:r>
      <w:r w:rsidR="00EA618C" w:rsidRPr="00AB3569">
        <w:rPr>
          <w:rStyle w:val="FootnoteReference"/>
          <w:sz w:val="24"/>
          <w:szCs w:val="24"/>
          <w:lang w:val="en-US"/>
        </w:rPr>
        <w:footnoteReference w:id="66"/>
      </w:r>
      <w:r w:rsidRPr="00AB3569">
        <w:rPr>
          <w:sz w:val="24"/>
          <w:szCs w:val="24"/>
          <w:lang w:val="en-US"/>
        </w:rPr>
        <w:t xml:space="preserve"> </w:t>
      </w:r>
      <w:r w:rsidRPr="00AB3569">
        <w:rPr>
          <w:i/>
          <w:sz w:val="24"/>
          <w:szCs w:val="24"/>
          <w:lang w:val="en-US"/>
        </w:rPr>
        <w:t xml:space="preserve">A first difference </w:t>
      </w:r>
      <w:r w:rsidRPr="00AB3569">
        <w:rPr>
          <w:sz w:val="24"/>
          <w:szCs w:val="24"/>
          <w:lang w:val="en-US"/>
        </w:rPr>
        <w:t>lies in the rationale underlying the judicial intervention in domestic enforcement measures. The principle of effective judicial protection seeks to ensure that</w:t>
      </w:r>
      <w:r w:rsidR="00AC0BB8" w:rsidRPr="00AB3569">
        <w:rPr>
          <w:sz w:val="24"/>
          <w:szCs w:val="24"/>
          <w:lang w:val="en-US"/>
        </w:rPr>
        <w:t>,</w:t>
      </w:r>
      <w:r w:rsidRPr="00AB3569">
        <w:rPr>
          <w:sz w:val="24"/>
          <w:szCs w:val="24"/>
          <w:lang w:val="en-US"/>
        </w:rPr>
        <w:t xml:space="preserve"> in a Union based on the rule of law, individual rights are protected by the courts.</w:t>
      </w:r>
      <w:r w:rsidRPr="00AB3569">
        <w:rPr>
          <w:rStyle w:val="FootnoteReference"/>
          <w:sz w:val="24"/>
          <w:szCs w:val="24"/>
          <w:lang w:val="en-US"/>
        </w:rPr>
        <w:footnoteReference w:id="67"/>
      </w:r>
      <w:r w:rsidRPr="00AB3569">
        <w:rPr>
          <w:sz w:val="24"/>
          <w:szCs w:val="24"/>
          <w:lang w:val="en-US"/>
        </w:rPr>
        <w:t xml:space="preserve"> The effectiveness principle</w:t>
      </w:r>
      <w:r w:rsidR="005D7C9B" w:rsidRPr="00AB3569">
        <w:rPr>
          <w:sz w:val="24"/>
          <w:szCs w:val="24"/>
          <w:lang w:val="en-US"/>
        </w:rPr>
        <w:t>,</w:t>
      </w:r>
      <w:r w:rsidRPr="00AB3569">
        <w:rPr>
          <w:sz w:val="24"/>
          <w:szCs w:val="24"/>
          <w:lang w:val="en-US"/>
        </w:rPr>
        <w:t xml:space="preserve"> on the other hand, aims at ens</w:t>
      </w:r>
      <w:r w:rsidR="00BB6CDC" w:rsidRPr="00AB3569">
        <w:rPr>
          <w:sz w:val="24"/>
          <w:szCs w:val="24"/>
          <w:lang w:val="en-US"/>
        </w:rPr>
        <w:t>uring that national rules d</w:t>
      </w:r>
      <w:r w:rsidRPr="00AB3569">
        <w:rPr>
          <w:sz w:val="24"/>
          <w:szCs w:val="24"/>
          <w:lang w:val="en-US"/>
        </w:rPr>
        <w:t>o not impede the effec</w:t>
      </w:r>
      <w:r w:rsidR="00A06826" w:rsidRPr="00AB3569">
        <w:rPr>
          <w:sz w:val="24"/>
          <w:szCs w:val="24"/>
          <w:lang w:val="en-US"/>
        </w:rPr>
        <w:t>tive application of Union law. In that sense, t</w:t>
      </w:r>
      <w:r w:rsidRPr="00AB3569">
        <w:rPr>
          <w:sz w:val="24"/>
          <w:szCs w:val="24"/>
          <w:lang w:val="en-US"/>
        </w:rPr>
        <w:t xml:space="preserve">he latter is a manifestation of the broader principle of </w:t>
      </w:r>
      <w:r w:rsidRPr="00AB3569">
        <w:rPr>
          <w:i/>
          <w:sz w:val="24"/>
          <w:szCs w:val="24"/>
          <w:lang w:val="en-US"/>
        </w:rPr>
        <w:t>effet utile</w:t>
      </w:r>
      <w:r w:rsidR="00374FC4" w:rsidRPr="00AB3569">
        <w:rPr>
          <w:sz w:val="24"/>
          <w:szCs w:val="24"/>
          <w:lang w:val="en-US"/>
        </w:rPr>
        <w:t>.</w:t>
      </w:r>
      <w:r w:rsidR="005A4658" w:rsidRPr="00AB3569">
        <w:rPr>
          <w:rStyle w:val="FootnoteReference"/>
          <w:sz w:val="24"/>
          <w:szCs w:val="24"/>
          <w:lang w:val="en-US"/>
        </w:rPr>
        <w:footnoteReference w:id="68"/>
      </w:r>
      <w:r w:rsidRPr="00AB3569">
        <w:rPr>
          <w:sz w:val="24"/>
          <w:szCs w:val="24"/>
          <w:lang w:val="en-US"/>
        </w:rPr>
        <w:t xml:space="preserve"> </w:t>
      </w:r>
      <w:r w:rsidR="00374FC4" w:rsidRPr="00AB3569">
        <w:rPr>
          <w:sz w:val="24"/>
          <w:szCs w:val="24"/>
          <w:lang w:val="en-US"/>
        </w:rPr>
        <w:t xml:space="preserve">These two rationales – protection of individual rights and effective enforcement of Union law </w:t>
      </w:r>
      <w:r w:rsidR="00374FC4" w:rsidRPr="00AB3569">
        <w:rPr>
          <w:i/>
          <w:sz w:val="24"/>
          <w:szCs w:val="24"/>
          <w:lang w:val="en-US"/>
        </w:rPr>
        <w:t>per se</w:t>
      </w:r>
      <w:r w:rsidR="00374FC4" w:rsidRPr="00AB3569">
        <w:rPr>
          <w:sz w:val="24"/>
          <w:szCs w:val="24"/>
          <w:lang w:val="en-US"/>
        </w:rPr>
        <w:t xml:space="preserve"> – </w:t>
      </w:r>
      <w:r w:rsidR="00BE06F7" w:rsidRPr="00AB3569">
        <w:rPr>
          <w:sz w:val="24"/>
          <w:szCs w:val="24"/>
          <w:lang w:val="en-US"/>
        </w:rPr>
        <w:t xml:space="preserve">are closely linked, and they </w:t>
      </w:r>
      <w:r w:rsidR="00374FC4" w:rsidRPr="00AB3569">
        <w:rPr>
          <w:sz w:val="24"/>
          <w:szCs w:val="24"/>
          <w:lang w:val="en-US"/>
        </w:rPr>
        <w:t>often pull in the same direction and reinforce each other.</w:t>
      </w:r>
      <w:r w:rsidR="00374FC4" w:rsidRPr="00AB3569">
        <w:rPr>
          <w:rStyle w:val="FootnoteReference"/>
          <w:sz w:val="24"/>
          <w:szCs w:val="24"/>
          <w:lang w:val="en-US"/>
        </w:rPr>
        <w:footnoteReference w:id="69"/>
      </w:r>
      <w:r w:rsidR="00374FC4" w:rsidRPr="00AB3569">
        <w:rPr>
          <w:sz w:val="24"/>
          <w:szCs w:val="24"/>
          <w:lang w:val="en-US"/>
        </w:rPr>
        <w:t xml:space="preserve"> Y</w:t>
      </w:r>
      <w:r w:rsidR="00BE06F7" w:rsidRPr="00AB3569">
        <w:rPr>
          <w:sz w:val="24"/>
          <w:szCs w:val="24"/>
          <w:lang w:val="en-US"/>
        </w:rPr>
        <w:t>et</w:t>
      </w:r>
      <w:r w:rsidR="00374FC4" w:rsidRPr="00AB3569">
        <w:rPr>
          <w:sz w:val="24"/>
          <w:szCs w:val="24"/>
          <w:lang w:val="en-US"/>
        </w:rPr>
        <w:t xml:space="preserve"> </w:t>
      </w:r>
      <w:r w:rsidR="001A6CE8" w:rsidRPr="00AB3569">
        <w:rPr>
          <w:sz w:val="24"/>
          <w:szCs w:val="24"/>
          <w:lang w:val="en-US"/>
        </w:rPr>
        <w:t>this</w:t>
      </w:r>
      <w:r w:rsidR="00BE06F7" w:rsidRPr="00AB3569">
        <w:rPr>
          <w:sz w:val="24"/>
          <w:szCs w:val="24"/>
          <w:lang w:val="en-US"/>
        </w:rPr>
        <w:t xml:space="preserve"> is not always the case, and </w:t>
      </w:r>
      <w:r w:rsidR="00374FC4" w:rsidRPr="00AB3569">
        <w:rPr>
          <w:sz w:val="24"/>
          <w:szCs w:val="24"/>
          <w:lang w:val="en-US"/>
        </w:rPr>
        <w:t xml:space="preserve">the principle of effectiveness </w:t>
      </w:r>
      <w:r w:rsidR="001A6CE8" w:rsidRPr="00AB3569">
        <w:rPr>
          <w:sz w:val="24"/>
          <w:szCs w:val="24"/>
          <w:lang w:val="en-US"/>
        </w:rPr>
        <w:t>may on occasion be applied</w:t>
      </w:r>
      <w:r w:rsidR="00BE06F7" w:rsidRPr="00AB3569">
        <w:rPr>
          <w:sz w:val="24"/>
          <w:szCs w:val="24"/>
          <w:lang w:val="en-US"/>
        </w:rPr>
        <w:t xml:space="preserve"> to the detriment of individuals</w:t>
      </w:r>
      <w:r w:rsidRPr="00AB3569">
        <w:rPr>
          <w:sz w:val="24"/>
          <w:szCs w:val="24"/>
          <w:lang w:val="en-US"/>
        </w:rPr>
        <w:t>.</w:t>
      </w:r>
      <w:r w:rsidRPr="00AB3569">
        <w:rPr>
          <w:rStyle w:val="FootnoteReference"/>
          <w:sz w:val="24"/>
          <w:szCs w:val="24"/>
          <w:lang w:val="en-US"/>
        </w:rPr>
        <w:footnoteReference w:id="70"/>
      </w:r>
      <w:r w:rsidRPr="00AB3569">
        <w:rPr>
          <w:sz w:val="24"/>
          <w:szCs w:val="24"/>
          <w:lang w:val="en-US"/>
        </w:rPr>
        <w:t xml:space="preserve"> </w:t>
      </w:r>
      <w:r w:rsidRPr="00AB3569">
        <w:rPr>
          <w:i/>
          <w:sz w:val="24"/>
          <w:szCs w:val="24"/>
          <w:lang w:val="en-US"/>
        </w:rPr>
        <w:t>Second</w:t>
      </w:r>
      <w:r w:rsidR="00BE06F7" w:rsidRPr="00AB3569">
        <w:rPr>
          <w:sz w:val="24"/>
          <w:szCs w:val="24"/>
          <w:lang w:val="en-US"/>
        </w:rPr>
        <w:t xml:space="preserve">, the two principles have a </w:t>
      </w:r>
      <w:r w:rsidRPr="00AB3569">
        <w:rPr>
          <w:sz w:val="24"/>
          <w:szCs w:val="24"/>
          <w:lang w:val="en-US"/>
        </w:rPr>
        <w:t xml:space="preserve">different legal basis. </w:t>
      </w:r>
      <w:r w:rsidR="00734FA5" w:rsidRPr="00AB3569">
        <w:rPr>
          <w:sz w:val="24"/>
          <w:szCs w:val="24"/>
          <w:lang w:val="en-US"/>
        </w:rPr>
        <w:t>T</w:t>
      </w:r>
      <w:r w:rsidRPr="00AB3569">
        <w:rPr>
          <w:sz w:val="24"/>
          <w:szCs w:val="24"/>
          <w:lang w:val="en-US"/>
        </w:rPr>
        <w:t>he principle of effectiveness is derived from the duty of loyal cooperatio</w:t>
      </w:r>
      <w:r w:rsidR="00734FA5" w:rsidRPr="00AB3569">
        <w:rPr>
          <w:sz w:val="24"/>
          <w:szCs w:val="24"/>
          <w:lang w:val="en-US"/>
        </w:rPr>
        <w:t>n enshrined in Article 4(3) TEU;</w:t>
      </w:r>
      <w:r w:rsidRPr="00AB3569">
        <w:rPr>
          <w:sz w:val="24"/>
          <w:szCs w:val="24"/>
          <w:lang w:val="en-US"/>
        </w:rPr>
        <w:t xml:space="preserve"> the principle of effective judicial protection was traditionally derived from the ECHR Articles 6 and 13 and the common constitutional </w:t>
      </w:r>
      <w:r w:rsidR="00680CEE" w:rsidRPr="00AB3569">
        <w:rPr>
          <w:sz w:val="24"/>
          <w:szCs w:val="24"/>
          <w:lang w:val="en-US"/>
        </w:rPr>
        <w:t>traditions of the Member States,</w:t>
      </w:r>
      <w:r w:rsidRPr="00AB3569">
        <w:rPr>
          <w:rStyle w:val="FootnoteReference"/>
          <w:sz w:val="24"/>
          <w:szCs w:val="24"/>
          <w:lang w:val="en-US"/>
        </w:rPr>
        <w:footnoteReference w:id="71"/>
      </w:r>
      <w:r w:rsidR="00680CEE" w:rsidRPr="00AB3569">
        <w:rPr>
          <w:sz w:val="24"/>
          <w:szCs w:val="24"/>
          <w:lang w:val="en-US"/>
        </w:rPr>
        <w:t xml:space="preserve"> </w:t>
      </w:r>
      <w:r w:rsidR="005D7C9B" w:rsidRPr="00AB3569">
        <w:rPr>
          <w:sz w:val="24"/>
          <w:szCs w:val="24"/>
          <w:lang w:val="en-US"/>
        </w:rPr>
        <w:t xml:space="preserve">but </w:t>
      </w:r>
      <w:r w:rsidR="00680CEE" w:rsidRPr="00AB3569">
        <w:rPr>
          <w:sz w:val="24"/>
          <w:szCs w:val="24"/>
          <w:lang w:val="en-US"/>
        </w:rPr>
        <w:t>now has its legal basis in Article 47 of the Charter.</w:t>
      </w:r>
      <w:r w:rsidRPr="00AB3569">
        <w:rPr>
          <w:sz w:val="24"/>
          <w:szCs w:val="24"/>
          <w:lang w:val="en-US"/>
        </w:rPr>
        <w:t xml:space="preserve"> </w:t>
      </w:r>
      <w:r w:rsidRPr="00AB3569">
        <w:rPr>
          <w:i/>
          <w:sz w:val="24"/>
          <w:szCs w:val="24"/>
          <w:lang w:val="en-US"/>
        </w:rPr>
        <w:t>Third</w:t>
      </w:r>
      <w:r w:rsidRPr="00AB3569">
        <w:rPr>
          <w:sz w:val="24"/>
          <w:szCs w:val="24"/>
          <w:lang w:val="en-US"/>
        </w:rPr>
        <w:t xml:space="preserve">, </w:t>
      </w:r>
      <w:r w:rsidR="00734FA5" w:rsidRPr="00AB3569">
        <w:rPr>
          <w:sz w:val="24"/>
          <w:szCs w:val="24"/>
          <w:lang w:val="en-US"/>
        </w:rPr>
        <w:t>whereas t</w:t>
      </w:r>
      <w:r w:rsidR="00C21031" w:rsidRPr="00AB3569">
        <w:rPr>
          <w:sz w:val="24"/>
          <w:szCs w:val="24"/>
          <w:lang w:val="en-US"/>
        </w:rPr>
        <w:t>he principle of effectiveness</w:t>
      </w:r>
      <w:r w:rsidR="00734FA5" w:rsidRPr="00AB3569">
        <w:rPr>
          <w:sz w:val="24"/>
          <w:szCs w:val="24"/>
          <w:lang w:val="en-US"/>
        </w:rPr>
        <w:t xml:space="preserve"> merely</w:t>
      </w:r>
      <w:r w:rsidR="00C21031" w:rsidRPr="00AB3569">
        <w:rPr>
          <w:sz w:val="24"/>
          <w:szCs w:val="24"/>
          <w:lang w:val="en-US"/>
        </w:rPr>
        <w:t xml:space="preserve"> provides for the disapplication of national provisions rendering the application of Union law </w:t>
      </w:r>
      <w:r w:rsidR="00C748B1" w:rsidRPr="00AB3569">
        <w:rPr>
          <w:sz w:val="24"/>
          <w:szCs w:val="24"/>
          <w:lang w:val="en-US"/>
        </w:rPr>
        <w:t>practically</w:t>
      </w:r>
      <w:r w:rsidR="00C21031" w:rsidRPr="00AB3569">
        <w:rPr>
          <w:sz w:val="24"/>
          <w:szCs w:val="24"/>
          <w:lang w:val="en-US"/>
        </w:rPr>
        <w:t xml:space="preserve"> impos</w:t>
      </w:r>
      <w:r w:rsidR="00734FA5" w:rsidRPr="00AB3569">
        <w:rPr>
          <w:sz w:val="24"/>
          <w:szCs w:val="24"/>
          <w:lang w:val="en-US"/>
        </w:rPr>
        <w:t>sible or excessively difficult, t</w:t>
      </w:r>
      <w:r w:rsidR="00C85012" w:rsidRPr="00AB3569">
        <w:rPr>
          <w:sz w:val="24"/>
          <w:szCs w:val="24"/>
          <w:lang w:val="en-US"/>
        </w:rPr>
        <w:t>he principle of effective</w:t>
      </w:r>
      <w:r w:rsidR="00734FA5" w:rsidRPr="00AB3569">
        <w:rPr>
          <w:sz w:val="24"/>
          <w:szCs w:val="24"/>
          <w:lang w:val="en-US"/>
        </w:rPr>
        <w:t xml:space="preserve"> judicial protection </w:t>
      </w:r>
      <w:r w:rsidR="00C85012" w:rsidRPr="00AB3569">
        <w:rPr>
          <w:sz w:val="24"/>
          <w:szCs w:val="24"/>
          <w:lang w:val="en-US"/>
        </w:rPr>
        <w:t>has a “more encompassing nature” entailing not only negative but also p</w:t>
      </w:r>
      <w:r w:rsidR="00680CEE" w:rsidRPr="00AB3569">
        <w:rPr>
          <w:sz w:val="24"/>
          <w:szCs w:val="24"/>
          <w:lang w:val="en-US"/>
        </w:rPr>
        <w:t>ositive procedural obligations.</w:t>
      </w:r>
      <w:r w:rsidR="00C85012" w:rsidRPr="00AB3569">
        <w:rPr>
          <w:rStyle w:val="FootnoteReference"/>
          <w:sz w:val="24"/>
          <w:szCs w:val="24"/>
          <w:lang w:val="en-US"/>
        </w:rPr>
        <w:footnoteReference w:id="72"/>
      </w:r>
      <w:r w:rsidR="0074152E" w:rsidRPr="00AB3569">
        <w:rPr>
          <w:sz w:val="24"/>
          <w:szCs w:val="24"/>
          <w:lang w:val="en-US"/>
        </w:rPr>
        <w:t xml:space="preserve"> B</w:t>
      </w:r>
      <w:r w:rsidRPr="00AB3569">
        <w:rPr>
          <w:sz w:val="24"/>
          <w:szCs w:val="24"/>
          <w:lang w:val="en-US"/>
        </w:rPr>
        <w:t xml:space="preserve">ased on the </w:t>
      </w:r>
      <w:r w:rsidR="0074152E" w:rsidRPr="00AB3569">
        <w:rPr>
          <w:sz w:val="24"/>
          <w:szCs w:val="24"/>
          <w:lang w:val="en-US"/>
        </w:rPr>
        <w:t>latter principle</w:t>
      </w:r>
      <w:r w:rsidRPr="00AB3569">
        <w:rPr>
          <w:sz w:val="24"/>
          <w:szCs w:val="24"/>
          <w:lang w:val="en-US"/>
        </w:rPr>
        <w:t xml:space="preserve">, the Court </w:t>
      </w:r>
      <w:r w:rsidR="0074152E" w:rsidRPr="00AB3569">
        <w:rPr>
          <w:sz w:val="24"/>
          <w:szCs w:val="24"/>
          <w:lang w:val="en-US"/>
        </w:rPr>
        <w:t>also</w:t>
      </w:r>
      <w:r w:rsidRPr="00AB3569">
        <w:rPr>
          <w:sz w:val="24"/>
          <w:szCs w:val="24"/>
          <w:lang w:val="en-US"/>
        </w:rPr>
        <w:t xml:space="preserve"> </w:t>
      </w:r>
      <w:r w:rsidR="0074152E" w:rsidRPr="00AB3569">
        <w:rPr>
          <w:sz w:val="24"/>
          <w:szCs w:val="24"/>
          <w:lang w:val="en-US"/>
        </w:rPr>
        <w:t>has defined</w:t>
      </w:r>
      <w:r w:rsidRPr="00AB3569">
        <w:rPr>
          <w:sz w:val="24"/>
          <w:szCs w:val="24"/>
          <w:lang w:val="en-US"/>
        </w:rPr>
        <w:t xml:space="preserve"> for itself measures </w:t>
      </w:r>
      <w:r w:rsidR="005D7C9B" w:rsidRPr="00AB3569">
        <w:rPr>
          <w:sz w:val="24"/>
          <w:szCs w:val="24"/>
          <w:lang w:val="en-US"/>
        </w:rPr>
        <w:t xml:space="preserve">that </w:t>
      </w:r>
      <w:r w:rsidRPr="00AB3569">
        <w:rPr>
          <w:sz w:val="24"/>
          <w:szCs w:val="24"/>
          <w:lang w:val="en-US"/>
        </w:rPr>
        <w:t>must be taken by Member States, thereby prescribing a Union standard of protection which can be used to fill gaps in existing legislative schemes.</w:t>
      </w:r>
      <w:r w:rsidRPr="00AB3569">
        <w:rPr>
          <w:rStyle w:val="FootnoteReference"/>
          <w:sz w:val="24"/>
          <w:szCs w:val="24"/>
          <w:lang w:val="en-US"/>
        </w:rPr>
        <w:footnoteReference w:id="73"/>
      </w:r>
      <w:r w:rsidR="00237AAB" w:rsidRPr="00AB3569">
        <w:rPr>
          <w:sz w:val="24"/>
          <w:szCs w:val="24"/>
          <w:lang w:val="en-US"/>
        </w:rPr>
        <w:t xml:space="preserve"> </w:t>
      </w:r>
    </w:p>
    <w:p w14:paraId="5F90E943" w14:textId="40A19C6D" w:rsidR="001B12C9" w:rsidRPr="00AB3569" w:rsidRDefault="001B12C9" w:rsidP="001B12C9">
      <w:pPr>
        <w:rPr>
          <w:sz w:val="24"/>
          <w:szCs w:val="24"/>
          <w:lang w:val="en-US"/>
        </w:rPr>
      </w:pPr>
      <w:r w:rsidRPr="00AB3569">
        <w:rPr>
          <w:sz w:val="24"/>
          <w:szCs w:val="24"/>
          <w:lang w:val="en-US"/>
        </w:rPr>
        <w:t xml:space="preserve">In </w:t>
      </w:r>
      <w:r w:rsidR="006E621A" w:rsidRPr="00AB3569">
        <w:rPr>
          <w:i/>
          <w:noProof/>
          <w:sz w:val="24"/>
          <w:szCs w:val="24"/>
          <w:lang w:val="en-US"/>
        </w:rPr>
        <w:t>Puškár</w:t>
      </w:r>
      <w:r w:rsidRPr="00AB3569">
        <w:rPr>
          <w:sz w:val="24"/>
          <w:szCs w:val="24"/>
          <w:lang w:val="en-US"/>
        </w:rPr>
        <w:t>, the Court reiterated that Article 47 of the Charter constitutes a “reaffirmation” of the pre-existing right to effective judicial protection.</w:t>
      </w:r>
      <w:r w:rsidRPr="00AB3569">
        <w:rPr>
          <w:rStyle w:val="FootnoteReference"/>
          <w:sz w:val="24"/>
          <w:szCs w:val="24"/>
          <w:lang w:val="en-US"/>
        </w:rPr>
        <w:footnoteReference w:id="74"/>
      </w:r>
      <w:r w:rsidRPr="00AB3569">
        <w:rPr>
          <w:sz w:val="24"/>
          <w:szCs w:val="24"/>
          <w:lang w:val="en-US"/>
        </w:rPr>
        <w:t xml:space="preserve"> Even before it was formally set out in the Charter, the Court had considered that the right to a judicial remedy was a general principle of EU law.</w:t>
      </w:r>
      <w:r w:rsidRPr="00AB3569">
        <w:rPr>
          <w:rStyle w:val="FootnoteReference"/>
          <w:sz w:val="24"/>
          <w:szCs w:val="24"/>
          <w:lang w:val="en-US"/>
        </w:rPr>
        <w:footnoteReference w:id="75"/>
      </w:r>
      <w:r w:rsidRPr="00AB3569">
        <w:rPr>
          <w:sz w:val="24"/>
          <w:szCs w:val="24"/>
          <w:lang w:val="en-US"/>
        </w:rPr>
        <w:t xml:space="preserve"> The Charter codifies this right, and when interpreting Article 47, the Court builds on its case law predating the entry into force of the Lisbon Treaty.</w:t>
      </w:r>
      <w:r w:rsidRPr="00AB3569">
        <w:rPr>
          <w:rStyle w:val="FootnoteReference"/>
          <w:sz w:val="24"/>
          <w:szCs w:val="24"/>
          <w:lang w:val="en-US"/>
        </w:rPr>
        <w:footnoteReference w:id="76"/>
      </w:r>
      <w:r w:rsidRPr="00AB3569">
        <w:rPr>
          <w:sz w:val="24"/>
          <w:szCs w:val="24"/>
          <w:lang w:val="en-US"/>
        </w:rPr>
        <w:t xml:space="preserve"> It may nevertheless </w:t>
      </w:r>
      <w:r w:rsidR="0080276A" w:rsidRPr="00AB3569">
        <w:rPr>
          <w:sz w:val="24"/>
          <w:szCs w:val="24"/>
          <w:lang w:val="en-US"/>
        </w:rPr>
        <w:t>be that</w:t>
      </w:r>
      <w:r w:rsidRPr="00AB3569">
        <w:rPr>
          <w:sz w:val="24"/>
          <w:szCs w:val="24"/>
          <w:lang w:val="en-US"/>
        </w:rPr>
        <w:t xml:space="preserve"> the change in status has had implications for the evolvement of the right to effective judicial protection.</w:t>
      </w:r>
      <w:r w:rsidRPr="00AB3569">
        <w:rPr>
          <w:rStyle w:val="FootnoteReference"/>
          <w:sz w:val="24"/>
          <w:szCs w:val="24"/>
          <w:lang w:val="en-US"/>
        </w:rPr>
        <w:footnoteReference w:id="77"/>
      </w:r>
      <w:r w:rsidRPr="00AB3569">
        <w:rPr>
          <w:sz w:val="24"/>
          <w:szCs w:val="24"/>
          <w:lang w:val="en-US"/>
        </w:rPr>
        <w:t xml:space="preserve"> The scope of the right and the way in which it has to be interpreted is now more sharply defined.</w:t>
      </w:r>
      <w:r w:rsidRPr="00AB3569">
        <w:rPr>
          <w:rStyle w:val="FootnoteReference"/>
          <w:sz w:val="24"/>
          <w:szCs w:val="24"/>
          <w:lang w:val="en-US"/>
        </w:rPr>
        <w:footnoteReference w:id="78"/>
      </w:r>
      <w:r w:rsidRPr="00AB3569">
        <w:rPr>
          <w:sz w:val="24"/>
          <w:szCs w:val="24"/>
          <w:lang w:val="en-US"/>
        </w:rPr>
        <w:t xml:space="preserve"> </w:t>
      </w:r>
      <w:r w:rsidR="008317BE" w:rsidRPr="00AB3569">
        <w:rPr>
          <w:sz w:val="24"/>
          <w:szCs w:val="24"/>
          <w:lang w:val="en-US"/>
        </w:rPr>
        <w:t>The C</w:t>
      </w:r>
      <w:r w:rsidR="00D34A53" w:rsidRPr="00AB3569">
        <w:rPr>
          <w:sz w:val="24"/>
          <w:szCs w:val="24"/>
          <w:lang w:val="en-US"/>
        </w:rPr>
        <w:t xml:space="preserve">ourt has found Article 47 to be </w:t>
      </w:r>
      <w:r w:rsidR="008317BE" w:rsidRPr="00AB3569">
        <w:rPr>
          <w:sz w:val="24"/>
          <w:szCs w:val="24"/>
          <w:lang w:val="en-US"/>
        </w:rPr>
        <w:t>“sufficient in itself and does not need to be made more specific by provisions of EU or national law to confer on individuals a right which they may rely on as such</w:t>
      </w:r>
      <w:r w:rsidR="00004A6F" w:rsidRPr="00AB3569">
        <w:rPr>
          <w:sz w:val="24"/>
          <w:szCs w:val="24"/>
          <w:lang w:val="en-US"/>
        </w:rPr>
        <w:t>.</w:t>
      </w:r>
      <w:r w:rsidR="008317BE" w:rsidRPr="00AB3569">
        <w:rPr>
          <w:sz w:val="24"/>
          <w:szCs w:val="24"/>
          <w:lang w:val="en-US"/>
        </w:rPr>
        <w:t>”</w:t>
      </w:r>
      <w:r w:rsidR="008317BE" w:rsidRPr="00AB3569">
        <w:rPr>
          <w:rStyle w:val="FootnoteReference"/>
          <w:sz w:val="24"/>
          <w:szCs w:val="24"/>
          <w:lang w:val="en-US"/>
        </w:rPr>
        <w:footnoteReference w:id="79"/>
      </w:r>
      <w:r w:rsidR="004C432B" w:rsidRPr="00AB3569">
        <w:rPr>
          <w:sz w:val="24"/>
          <w:szCs w:val="24"/>
          <w:lang w:val="en-US"/>
        </w:rPr>
        <w:t xml:space="preserve"> </w:t>
      </w:r>
      <w:r w:rsidRPr="00AB3569">
        <w:rPr>
          <w:sz w:val="24"/>
          <w:szCs w:val="24"/>
          <w:lang w:val="en-US"/>
        </w:rPr>
        <w:t>By formalizing the framework for permissible limitations to fundamental rights in the Charter, Article 52(1) also contributes to structuring the Court’s scrutiny of domestic limitations of the right to effective judicial protection.</w:t>
      </w:r>
      <w:r w:rsidRPr="00AB3569">
        <w:rPr>
          <w:rStyle w:val="FootnoteReference"/>
          <w:sz w:val="24"/>
          <w:szCs w:val="24"/>
          <w:lang w:val="en-US"/>
        </w:rPr>
        <w:footnoteReference w:id="80"/>
      </w:r>
      <w:r w:rsidRPr="00AB3569">
        <w:rPr>
          <w:sz w:val="24"/>
          <w:szCs w:val="24"/>
          <w:lang w:val="en-US"/>
        </w:rPr>
        <w:t xml:space="preserve"> In particular, the Court is encouraged to examine separately whether a procedural restriction affects the very essence of the right to judicial protection.</w:t>
      </w:r>
      <w:r w:rsidRPr="00AB3569">
        <w:rPr>
          <w:rStyle w:val="FootnoteReference"/>
          <w:sz w:val="24"/>
          <w:szCs w:val="24"/>
          <w:lang w:val="en-US"/>
        </w:rPr>
        <w:footnoteReference w:id="81"/>
      </w:r>
      <w:r w:rsidRPr="00AB3569">
        <w:rPr>
          <w:sz w:val="24"/>
          <w:szCs w:val="24"/>
          <w:lang w:val="en-US"/>
        </w:rPr>
        <w:t xml:space="preserve"> </w:t>
      </w:r>
    </w:p>
    <w:p w14:paraId="55518D60" w14:textId="1139B237" w:rsidR="001B12C9" w:rsidRPr="00AB3569" w:rsidRDefault="001B12C9" w:rsidP="001B12C9">
      <w:pPr>
        <w:rPr>
          <w:sz w:val="24"/>
          <w:szCs w:val="24"/>
          <w:lang w:val="en-US"/>
        </w:rPr>
      </w:pPr>
      <w:r w:rsidRPr="00AB3569">
        <w:rPr>
          <w:sz w:val="24"/>
          <w:szCs w:val="24"/>
          <w:lang w:val="en-US"/>
        </w:rPr>
        <w:t xml:space="preserve">In recent times, the Court also seems to have adopted a more elaborative style, giving more detail on what the principle of effective judicial protection requires. </w:t>
      </w:r>
      <w:r w:rsidR="004545C9" w:rsidRPr="00AB3569">
        <w:rPr>
          <w:i/>
          <w:sz w:val="24"/>
          <w:szCs w:val="24"/>
          <w:lang w:val="en-US"/>
        </w:rPr>
        <w:t>Schrems</w:t>
      </w:r>
      <w:r w:rsidR="0035286F" w:rsidRPr="00AB3569">
        <w:rPr>
          <w:sz w:val="24"/>
          <w:szCs w:val="24"/>
          <w:lang w:val="en-US"/>
        </w:rPr>
        <w:t xml:space="preserve">, addressed </w:t>
      </w:r>
      <w:r w:rsidR="00EF22E5" w:rsidRPr="00AB3569">
        <w:rPr>
          <w:sz w:val="24"/>
          <w:szCs w:val="24"/>
          <w:lang w:val="en-US"/>
        </w:rPr>
        <w:t>in section</w:t>
      </w:r>
      <w:r w:rsidR="000C61BC" w:rsidRPr="00AB3569">
        <w:rPr>
          <w:sz w:val="24"/>
          <w:szCs w:val="24"/>
          <w:lang w:val="en-US"/>
        </w:rPr>
        <w:t xml:space="preserve"> 5.2</w:t>
      </w:r>
      <w:r w:rsidR="00EF22E5" w:rsidRPr="00AB3569">
        <w:rPr>
          <w:sz w:val="24"/>
          <w:szCs w:val="24"/>
          <w:lang w:val="en-US"/>
        </w:rPr>
        <w:t xml:space="preserve"> below</w:t>
      </w:r>
      <w:r w:rsidR="0035286F" w:rsidRPr="00AB3569">
        <w:rPr>
          <w:sz w:val="24"/>
          <w:szCs w:val="24"/>
          <w:lang w:val="en-US"/>
        </w:rPr>
        <w:t>,</w:t>
      </w:r>
      <w:r w:rsidR="000C61BC" w:rsidRPr="00AB3569">
        <w:rPr>
          <w:sz w:val="24"/>
          <w:szCs w:val="24"/>
          <w:lang w:val="en-US"/>
        </w:rPr>
        <w:t xml:space="preserve"> is one example</w:t>
      </w:r>
      <w:r w:rsidR="005F3BC7" w:rsidRPr="00AB3569">
        <w:rPr>
          <w:sz w:val="24"/>
          <w:szCs w:val="24"/>
          <w:lang w:val="en-US"/>
        </w:rPr>
        <w:t>;</w:t>
      </w:r>
      <w:r w:rsidR="000C61BC" w:rsidRPr="00AB3569">
        <w:rPr>
          <w:sz w:val="24"/>
          <w:szCs w:val="24"/>
          <w:lang w:val="en-US"/>
        </w:rPr>
        <w:t xml:space="preserve"> </w:t>
      </w:r>
      <w:r w:rsidR="004545C9" w:rsidRPr="00AB3569">
        <w:rPr>
          <w:sz w:val="24"/>
          <w:szCs w:val="24"/>
          <w:lang w:val="en-US"/>
        </w:rPr>
        <w:t xml:space="preserve">another </w:t>
      </w:r>
      <w:r w:rsidR="005F3BC7" w:rsidRPr="00AB3569">
        <w:rPr>
          <w:sz w:val="24"/>
          <w:szCs w:val="24"/>
          <w:lang w:val="en-US"/>
        </w:rPr>
        <w:t xml:space="preserve">one </w:t>
      </w:r>
      <w:r w:rsidR="004545C9" w:rsidRPr="00AB3569">
        <w:rPr>
          <w:sz w:val="24"/>
          <w:szCs w:val="24"/>
          <w:lang w:val="en-US"/>
        </w:rPr>
        <w:t xml:space="preserve">is </w:t>
      </w:r>
      <w:r w:rsidR="004545C9" w:rsidRPr="00AB3569">
        <w:rPr>
          <w:i/>
          <w:sz w:val="24"/>
          <w:szCs w:val="24"/>
          <w:lang w:val="en-US"/>
        </w:rPr>
        <w:t>DEB</w:t>
      </w:r>
      <w:r w:rsidR="004545C9" w:rsidRPr="00AB3569">
        <w:rPr>
          <w:sz w:val="24"/>
          <w:szCs w:val="24"/>
          <w:lang w:val="en-US"/>
        </w:rPr>
        <w:t>, where the Court held that it had to be possible, in principle, also for legal persons to obtain legal aid.</w:t>
      </w:r>
      <w:r w:rsidR="00237AAB" w:rsidRPr="00AB3569">
        <w:rPr>
          <w:sz w:val="24"/>
          <w:szCs w:val="24"/>
          <w:lang w:val="en-US"/>
        </w:rPr>
        <w:t xml:space="preserve"> </w:t>
      </w:r>
      <w:r w:rsidR="00546B5E" w:rsidRPr="00AB3569">
        <w:rPr>
          <w:sz w:val="24"/>
          <w:szCs w:val="24"/>
          <w:lang w:val="en-US"/>
        </w:rPr>
        <w:t>This is not, however, a</w:t>
      </w:r>
      <w:r w:rsidR="009D0ED3" w:rsidRPr="00AB3569">
        <w:rPr>
          <w:sz w:val="24"/>
          <w:szCs w:val="24"/>
          <w:lang w:val="en-US"/>
        </w:rPr>
        <w:t>n unequivocal</w:t>
      </w:r>
      <w:r w:rsidR="00546B5E" w:rsidRPr="00AB3569">
        <w:rPr>
          <w:sz w:val="24"/>
          <w:szCs w:val="24"/>
          <w:lang w:val="en-US"/>
        </w:rPr>
        <w:t xml:space="preserve"> trend. In </w:t>
      </w:r>
      <w:r w:rsidR="006E621A" w:rsidRPr="00AB3569">
        <w:rPr>
          <w:i/>
          <w:noProof/>
          <w:sz w:val="24"/>
          <w:szCs w:val="24"/>
          <w:lang w:val="en-US"/>
        </w:rPr>
        <w:t>Puškár</w:t>
      </w:r>
      <w:r w:rsidR="00546B5E" w:rsidRPr="00AB3569">
        <w:rPr>
          <w:sz w:val="24"/>
          <w:szCs w:val="24"/>
          <w:lang w:val="en-US"/>
        </w:rPr>
        <w:t xml:space="preserve">, the Court </w:t>
      </w:r>
      <w:r w:rsidR="001E6A6E" w:rsidRPr="00AB3569">
        <w:rPr>
          <w:sz w:val="24"/>
          <w:szCs w:val="24"/>
          <w:lang w:val="en-US"/>
        </w:rPr>
        <w:t>adopted a more restrained approach,</w:t>
      </w:r>
      <w:r w:rsidR="00546B5E" w:rsidRPr="00AB3569">
        <w:rPr>
          <w:sz w:val="24"/>
          <w:szCs w:val="24"/>
          <w:lang w:val="en-US"/>
        </w:rPr>
        <w:t xml:space="preserve"> leaving the </w:t>
      </w:r>
      <w:r w:rsidR="001E6A6E" w:rsidRPr="00AB3569">
        <w:rPr>
          <w:sz w:val="24"/>
          <w:szCs w:val="24"/>
          <w:lang w:val="en-US"/>
        </w:rPr>
        <w:t>referring court</w:t>
      </w:r>
      <w:r w:rsidR="00546B5E" w:rsidRPr="00AB3569">
        <w:rPr>
          <w:sz w:val="24"/>
          <w:szCs w:val="24"/>
          <w:lang w:val="en-US"/>
        </w:rPr>
        <w:t xml:space="preserve"> a great deal of leeway to determine whether the procedural restrictions constitute a proportionate interference with the right to effective judicial protection.</w:t>
      </w:r>
      <w:r w:rsidR="00237AAB" w:rsidRPr="00AB3569">
        <w:rPr>
          <w:sz w:val="24"/>
          <w:szCs w:val="24"/>
          <w:lang w:val="en-US"/>
        </w:rPr>
        <w:t xml:space="preserve"> </w:t>
      </w:r>
    </w:p>
    <w:p w14:paraId="34A97424" w14:textId="739E3AD0" w:rsidR="001B12C9" w:rsidRPr="00AB3569" w:rsidRDefault="001B12C9" w:rsidP="001B12C9">
      <w:pPr>
        <w:rPr>
          <w:sz w:val="24"/>
          <w:szCs w:val="24"/>
          <w:lang w:val="en-US"/>
        </w:rPr>
      </w:pPr>
      <w:r w:rsidRPr="00AB3569">
        <w:rPr>
          <w:sz w:val="24"/>
          <w:szCs w:val="24"/>
          <w:lang w:val="en-US"/>
        </w:rPr>
        <w:t>It could well be that the Court perceives it as more legitimate to elaborate on what the prin</w:t>
      </w:r>
      <w:r w:rsidR="006B7645" w:rsidRPr="00AB3569">
        <w:rPr>
          <w:sz w:val="24"/>
          <w:szCs w:val="24"/>
          <w:lang w:val="en-US"/>
        </w:rPr>
        <w:t>c</w:t>
      </w:r>
      <w:r w:rsidRPr="00AB3569">
        <w:rPr>
          <w:sz w:val="24"/>
          <w:szCs w:val="24"/>
          <w:lang w:val="en-US"/>
        </w:rPr>
        <w:t xml:space="preserve">iple requires </w:t>
      </w:r>
      <w:r w:rsidR="006B7645" w:rsidRPr="00AB3569">
        <w:rPr>
          <w:sz w:val="24"/>
          <w:szCs w:val="24"/>
          <w:lang w:val="en-US"/>
        </w:rPr>
        <w:t>rather than whether</w:t>
      </w:r>
      <w:r w:rsidRPr="00AB3569">
        <w:rPr>
          <w:sz w:val="24"/>
          <w:szCs w:val="24"/>
          <w:lang w:val="en-US"/>
        </w:rPr>
        <w:t xml:space="preserve"> it has a firm legal mandate in the Treaties. After all, Article 47 of the Charter constitutes a “more visible and highly legitimate legal basis upon which the Court can develop its standards of fundamental rights protection in relation to the right to an effective remedy.”</w:t>
      </w:r>
      <w:r w:rsidRPr="00AB3569">
        <w:rPr>
          <w:rStyle w:val="FootnoteReference"/>
          <w:sz w:val="24"/>
          <w:szCs w:val="24"/>
          <w:lang w:val="en-US"/>
        </w:rPr>
        <w:footnoteReference w:id="82"/>
      </w:r>
      <w:r w:rsidRPr="00AB3569">
        <w:rPr>
          <w:sz w:val="24"/>
          <w:szCs w:val="24"/>
          <w:lang w:val="en-US"/>
        </w:rPr>
        <w:t xml:space="preserve"> An explicit legal basis in the Treaties makes the Court more resilient to accusations of judicial activism directed at </w:t>
      </w:r>
      <w:r w:rsidR="00C13700" w:rsidRPr="00AB3569">
        <w:rPr>
          <w:sz w:val="24"/>
          <w:szCs w:val="24"/>
          <w:lang w:val="en-US"/>
        </w:rPr>
        <w:t>its</w:t>
      </w:r>
      <w:r w:rsidRPr="00AB3569">
        <w:rPr>
          <w:sz w:val="24"/>
          <w:szCs w:val="24"/>
          <w:lang w:val="en-US"/>
        </w:rPr>
        <w:t xml:space="preserve"> jurisprudence pertaining to procedures and remedies available </w:t>
      </w:r>
      <w:r w:rsidR="00566FB0" w:rsidRPr="00AB3569">
        <w:rPr>
          <w:sz w:val="24"/>
          <w:szCs w:val="24"/>
          <w:lang w:val="en-US"/>
        </w:rPr>
        <w:t xml:space="preserve">to </w:t>
      </w:r>
      <w:r w:rsidRPr="00AB3569">
        <w:rPr>
          <w:sz w:val="24"/>
          <w:szCs w:val="24"/>
          <w:lang w:val="en-US"/>
        </w:rPr>
        <w:t>domestic courts.</w:t>
      </w:r>
      <w:r w:rsidRPr="00AB3569">
        <w:rPr>
          <w:rStyle w:val="FootnoteReference"/>
          <w:sz w:val="24"/>
          <w:szCs w:val="24"/>
          <w:lang w:val="en-US"/>
        </w:rPr>
        <w:footnoteReference w:id="83"/>
      </w:r>
      <w:r w:rsidR="0017281E" w:rsidRPr="00AB3569">
        <w:rPr>
          <w:sz w:val="24"/>
          <w:szCs w:val="24"/>
          <w:lang w:val="en-US"/>
        </w:rPr>
        <w:t xml:space="preserve"> </w:t>
      </w:r>
      <w:r w:rsidR="003951A9" w:rsidRPr="00AB3569">
        <w:rPr>
          <w:sz w:val="24"/>
          <w:szCs w:val="24"/>
          <w:lang w:val="en-US"/>
        </w:rPr>
        <w:t xml:space="preserve">Whether the Court will seize the opportunity to </w:t>
      </w:r>
      <w:r w:rsidR="004579CC" w:rsidRPr="00AB3569">
        <w:rPr>
          <w:sz w:val="24"/>
          <w:szCs w:val="24"/>
          <w:lang w:val="en-US"/>
        </w:rPr>
        <w:t xml:space="preserve">define more precisely the EU standard of protection </w:t>
      </w:r>
      <w:r w:rsidR="00D10295" w:rsidRPr="00AB3569">
        <w:rPr>
          <w:sz w:val="24"/>
          <w:szCs w:val="24"/>
          <w:lang w:val="en-US"/>
        </w:rPr>
        <w:t xml:space="preserve">in its future case law </w:t>
      </w:r>
      <w:r w:rsidR="003951A9" w:rsidRPr="00AB3569">
        <w:rPr>
          <w:sz w:val="24"/>
          <w:szCs w:val="24"/>
          <w:lang w:val="en-US"/>
        </w:rPr>
        <w:t>remains to be seen.</w:t>
      </w:r>
      <w:r w:rsidR="0017281E" w:rsidRPr="00AB3569">
        <w:rPr>
          <w:sz w:val="24"/>
          <w:szCs w:val="24"/>
          <w:lang w:val="en-US"/>
        </w:rPr>
        <w:t xml:space="preserve"> </w:t>
      </w:r>
    </w:p>
    <w:p w14:paraId="63D961DE" w14:textId="77777777" w:rsidR="0066695B" w:rsidRPr="00AB3569" w:rsidRDefault="0066695B" w:rsidP="007B4E66">
      <w:pPr>
        <w:rPr>
          <w:sz w:val="24"/>
          <w:szCs w:val="24"/>
          <w:lang w:val="en-US"/>
        </w:rPr>
      </w:pPr>
    </w:p>
    <w:p w14:paraId="258C64DB" w14:textId="77777777" w:rsidR="0066695B" w:rsidRPr="00AB3569" w:rsidRDefault="0066695B" w:rsidP="00BD5289">
      <w:pPr>
        <w:pStyle w:val="ListParagraph"/>
        <w:numPr>
          <w:ilvl w:val="1"/>
          <w:numId w:val="1"/>
        </w:numPr>
        <w:rPr>
          <w:b/>
          <w:sz w:val="24"/>
          <w:szCs w:val="24"/>
          <w:lang w:val="en-US"/>
        </w:rPr>
      </w:pPr>
      <w:r w:rsidRPr="00AB3569">
        <w:rPr>
          <w:b/>
          <w:sz w:val="24"/>
          <w:szCs w:val="24"/>
          <w:lang w:val="en-US"/>
        </w:rPr>
        <w:t xml:space="preserve">The ‘essence’ of the right to effective judicial protection </w:t>
      </w:r>
    </w:p>
    <w:p w14:paraId="1605EBEB" w14:textId="15BE5678" w:rsidR="0066695B" w:rsidRPr="00AB3569" w:rsidRDefault="0066695B" w:rsidP="0066695B">
      <w:pPr>
        <w:rPr>
          <w:sz w:val="24"/>
          <w:szCs w:val="24"/>
          <w:lang w:val="en-US"/>
        </w:rPr>
      </w:pPr>
      <w:r w:rsidRPr="00AB3569">
        <w:rPr>
          <w:sz w:val="24"/>
          <w:szCs w:val="24"/>
          <w:lang w:val="en-US"/>
        </w:rPr>
        <w:t>The second element of Article 52(1) of the Charter requires that any procedural limitation on access to court must respect the ‘essence’ of the right to effective judicial protection.</w:t>
      </w:r>
      <w:r w:rsidRPr="00AB3569">
        <w:rPr>
          <w:rStyle w:val="FootnoteReference"/>
          <w:sz w:val="24"/>
          <w:szCs w:val="24"/>
          <w:lang w:val="en-US"/>
        </w:rPr>
        <w:footnoteReference w:id="84"/>
      </w:r>
      <w:r w:rsidRPr="00AB3569">
        <w:rPr>
          <w:sz w:val="24"/>
          <w:szCs w:val="24"/>
          <w:lang w:val="en-US"/>
        </w:rPr>
        <w:t xml:space="preserve"> In </w:t>
      </w:r>
      <w:r w:rsidR="006E621A" w:rsidRPr="00AB3569">
        <w:rPr>
          <w:i/>
          <w:noProof/>
          <w:sz w:val="24"/>
          <w:szCs w:val="24"/>
          <w:lang w:val="en-US"/>
        </w:rPr>
        <w:t>Puškár</w:t>
      </w:r>
      <w:r w:rsidR="00A55CE4" w:rsidRPr="00AB3569">
        <w:rPr>
          <w:sz w:val="24"/>
          <w:szCs w:val="24"/>
          <w:lang w:val="en-US"/>
        </w:rPr>
        <w:t>, the Court afforded us some (limited) guidance</w:t>
      </w:r>
      <w:r w:rsidRPr="00AB3569">
        <w:rPr>
          <w:sz w:val="24"/>
          <w:szCs w:val="24"/>
          <w:lang w:val="en-US"/>
        </w:rPr>
        <w:t xml:space="preserve"> as to what this ‘essence’ consists of. An obligation to exhaust available administrative remedies before seizing the court, the Court held, respects the essence of the right to effective judicial protection, since the obligation does not “call into question that right as such</w:t>
      </w:r>
      <w:r w:rsidR="008C1AAD" w:rsidRPr="00AB3569">
        <w:rPr>
          <w:sz w:val="24"/>
          <w:szCs w:val="24"/>
          <w:lang w:val="en-US"/>
        </w:rPr>
        <w:t>.</w:t>
      </w:r>
      <w:r w:rsidRPr="00AB3569">
        <w:rPr>
          <w:sz w:val="24"/>
          <w:szCs w:val="24"/>
          <w:lang w:val="en-US"/>
        </w:rPr>
        <w:t>” On the contrary, it merely imposes “[a]n additional procedural step ... in order to exercise it.”</w:t>
      </w:r>
      <w:r w:rsidRPr="00AB3569">
        <w:rPr>
          <w:rStyle w:val="FootnoteReference"/>
          <w:sz w:val="24"/>
          <w:szCs w:val="24"/>
          <w:lang w:val="en-US"/>
        </w:rPr>
        <w:footnoteReference w:id="85"/>
      </w:r>
      <w:r w:rsidRPr="00AB3569">
        <w:rPr>
          <w:sz w:val="24"/>
          <w:szCs w:val="24"/>
          <w:lang w:val="en-US"/>
        </w:rPr>
        <w:t xml:space="preserve"> The Court had held already in </w:t>
      </w:r>
      <w:r w:rsidRPr="00AB3569">
        <w:rPr>
          <w:i/>
          <w:sz w:val="24"/>
          <w:szCs w:val="24"/>
          <w:lang w:val="en-US"/>
        </w:rPr>
        <w:t xml:space="preserve">Allasini </w:t>
      </w:r>
      <w:r w:rsidRPr="00AB3569">
        <w:rPr>
          <w:sz w:val="24"/>
          <w:szCs w:val="24"/>
          <w:lang w:val="en-US"/>
        </w:rPr>
        <w:t>that requiring the satisfaction of additional steps before access to a Court can be granted does not, in principle, impair the essence of the right to effective judicial protection. Since the outcome of the mandatory out-of-court settlement procedure in question was not binding on the parties concerned, it did not “prejudice their right to bring legal proceedings.”</w:t>
      </w:r>
      <w:r w:rsidRPr="00AB3569">
        <w:rPr>
          <w:rStyle w:val="FootnoteReference"/>
          <w:sz w:val="24"/>
          <w:szCs w:val="24"/>
          <w:lang w:val="en-US"/>
        </w:rPr>
        <w:footnoteReference w:id="86"/>
      </w:r>
      <w:r w:rsidRPr="00AB3569">
        <w:rPr>
          <w:sz w:val="24"/>
          <w:szCs w:val="24"/>
          <w:lang w:val="en-US"/>
        </w:rPr>
        <w:t xml:space="preserve"> </w:t>
      </w:r>
    </w:p>
    <w:p w14:paraId="7C385F59" w14:textId="44BCE19C" w:rsidR="0066695B" w:rsidRPr="00AB3569" w:rsidRDefault="0066695B" w:rsidP="0066695B">
      <w:pPr>
        <w:rPr>
          <w:sz w:val="24"/>
          <w:szCs w:val="24"/>
          <w:lang w:val="en-US"/>
        </w:rPr>
      </w:pPr>
      <w:r w:rsidRPr="00AB3569">
        <w:rPr>
          <w:sz w:val="24"/>
          <w:szCs w:val="24"/>
          <w:lang w:val="en-US"/>
        </w:rPr>
        <w:t xml:space="preserve">An </w:t>
      </w:r>
      <w:r w:rsidRPr="00AB3569">
        <w:rPr>
          <w:i/>
          <w:sz w:val="24"/>
          <w:szCs w:val="24"/>
          <w:lang w:val="la-Latn"/>
        </w:rPr>
        <w:t>a contrario</w:t>
      </w:r>
      <w:r w:rsidRPr="00AB3569">
        <w:rPr>
          <w:sz w:val="24"/>
          <w:szCs w:val="24"/>
          <w:lang w:val="en-US"/>
        </w:rPr>
        <w:t xml:space="preserve"> reading of these rulings, could imply that a complete denial of access to court amounts to a breach of the essence of the right of effective judicial protection. The </w:t>
      </w:r>
      <w:r w:rsidRPr="00AB3569">
        <w:rPr>
          <w:i/>
          <w:sz w:val="24"/>
          <w:szCs w:val="24"/>
          <w:lang w:val="en-US"/>
        </w:rPr>
        <w:t>Schrems</w:t>
      </w:r>
      <w:r w:rsidRPr="00AB3569">
        <w:rPr>
          <w:sz w:val="24"/>
          <w:szCs w:val="24"/>
          <w:lang w:val="en-US"/>
        </w:rPr>
        <w:t xml:space="preserve"> ruling, which is the only case where the </w:t>
      </w:r>
      <w:r w:rsidR="007B6D4B" w:rsidRPr="00AB3569">
        <w:rPr>
          <w:sz w:val="24"/>
          <w:szCs w:val="24"/>
          <w:lang w:val="en-US"/>
        </w:rPr>
        <w:t>ECJ</w:t>
      </w:r>
      <w:r w:rsidRPr="00AB3569">
        <w:rPr>
          <w:sz w:val="24"/>
          <w:szCs w:val="24"/>
          <w:lang w:val="en-US"/>
        </w:rPr>
        <w:t xml:space="preserve"> has expli</w:t>
      </w:r>
      <w:r w:rsidR="008C1AAD" w:rsidRPr="00AB3569">
        <w:rPr>
          <w:sz w:val="24"/>
          <w:szCs w:val="24"/>
          <w:lang w:val="en-US"/>
        </w:rPr>
        <w:t>ci</w:t>
      </w:r>
      <w:r w:rsidRPr="00AB3569">
        <w:rPr>
          <w:sz w:val="24"/>
          <w:szCs w:val="24"/>
          <w:lang w:val="en-US"/>
        </w:rPr>
        <w:t xml:space="preserve">tly found the essence of Article 47 CFR to be violated, supports such a reading. The case, </w:t>
      </w:r>
      <w:r w:rsidR="00716B74" w:rsidRPr="00AB3569">
        <w:rPr>
          <w:sz w:val="24"/>
          <w:szCs w:val="24"/>
          <w:lang w:val="en-US"/>
        </w:rPr>
        <w:t>which should be familiar to many readers</w:t>
      </w:r>
      <w:r w:rsidRPr="00AB3569">
        <w:rPr>
          <w:sz w:val="24"/>
          <w:szCs w:val="24"/>
          <w:lang w:val="en-US"/>
        </w:rPr>
        <w:t xml:space="preserve">, concerned the validity of the Commission Decision on the adequacy of the protection provided by the </w:t>
      </w:r>
      <w:r w:rsidRPr="00AB3569">
        <w:rPr>
          <w:noProof/>
          <w:sz w:val="24"/>
          <w:szCs w:val="24"/>
          <w:lang w:val="en-US"/>
        </w:rPr>
        <w:t>Safe Harbour</w:t>
      </w:r>
      <w:r w:rsidRPr="00AB3569">
        <w:rPr>
          <w:sz w:val="24"/>
          <w:szCs w:val="24"/>
          <w:lang w:val="en-US"/>
        </w:rPr>
        <w:t xml:space="preserve"> agreement, pursuant to which personal data were transferred from the EU to the US. The measure did not provide for judicial review of compliance with the data subjects’ rights. The Court held that </w:t>
      </w:r>
    </w:p>
    <w:p w14:paraId="19AED664" w14:textId="1F3E460F" w:rsidR="0066695B" w:rsidRPr="00AB3569" w:rsidRDefault="0066695B" w:rsidP="00E27E82">
      <w:pPr>
        <w:ind w:left="708"/>
        <w:rPr>
          <w:lang w:val="en-US"/>
        </w:rPr>
      </w:pPr>
      <w:r w:rsidRPr="00AB3569">
        <w:rPr>
          <w:lang w:val="en-US"/>
        </w:rPr>
        <w:t>legislation not providing for any possibility for an individual to pursue legal remedies in order to have access to per</w:t>
      </w:r>
      <w:r w:rsidR="00CF0503" w:rsidRPr="00AB3569">
        <w:rPr>
          <w:lang w:val="en-US"/>
        </w:rPr>
        <w:t>s</w:t>
      </w:r>
      <w:r w:rsidRPr="00AB3569">
        <w:rPr>
          <w:lang w:val="en-US"/>
        </w:rPr>
        <w:t>onal data relating to him, or to obtain the rectification or erasure of such data, does not respect the essence of the fundamental right to effective judicial protection, as enshrined in Article 47 of the Charter.</w:t>
      </w:r>
      <w:r w:rsidRPr="00AB3569">
        <w:rPr>
          <w:rStyle w:val="FootnoteReference"/>
          <w:lang w:val="en-US"/>
        </w:rPr>
        <w:footnoteReference w:id="87"/>
      </w:r>
    </w:p>
    <w:p w14:paraId="636373F2" w14:textId="01F9879F" w:rsidR="0066695B" w:rsidRPr="00AB3569" w:rsidRDefault="008367AC" w:rsidP="0066695B">
      <w:pPr>
        <w:rPr>
          <w:sz w:val="24"/>
          <w:szCs w:val="24"/>
          <w:lang w:val="en-US"/>
        </w:rPr>
      </w:pPr>
      <w:r w:rsidRPr="00AB3569">
        <w:rPr>
          <w:sz w:val="24"/>
          <w:szCs w:val="24"/>
          <w:lang w:val="en-US"/>
        </w:rPr>
        <w:t>The crux lies in the phrase “any possibility</w:t>
      </w:r>
      <w:r w:rsidR="0014450E" w:rsidRPr="00AB3569">
        <w:rPr>
          <w:sz w:val="24"/>
          <w:szCs w:val="24"/>
          <w:lang w:val="en-US"/>
        </w:rPr>
        <w:t>.</w:t>
      </w:r>
      <w:r w:rsidRPr="00AB3569">
        <w:rPr>
          <w:sz w:val="24"/>
          <w:szCs w:val="24"/>
          <w:lang w:val="en-US"/>
        </w:rPr>
        <w:t>” The Court seems to stress</w:t>
      </w:r>
      <w:r w:rsidR="0066695B" w:rsidRPr="00AB3569">
        <w:rPr>
          <w:sz w:val="24"/>
          <w:szCs w:val="24"/>
          <w:lang w:val="en-US"/>
        </w:rPr>
        <w:t xml:space="preserve"> that the complete absence of a legal avenue for individuals </w:t>
      </w:r>
      <w:r w:rsidR="005831C1" w:rsidRPr="00AB3569">
        <w:rPr>
          <w:sz w:val="24"/>
          <w:szCs w:val="24"/>
          <w:lang w:val="en-US"/>
        </w:rPr>
        <w:t>alleging an infringement of their Union rights</w:t>
      </w:r>
      <w:r w:rsidRPr="00AB3569">
        <w:rPr>
          <w:sz w:val="24"/>
          <w:szCs w:val="24"/>
          <w:lang w:val="en-US"/>
        </w:rPr>
        <w:t>, impinges</w:t>
      </w:r>
      <w:r w:rsidR="0066695B" w:rsidRPr="00AB3569">
        <w:rPr>
          <w:sz w:val="24"/>
          <w:szCs w:val="24"/>
          <w:lang w:val="en-US"/>
        </w:rPr>
        <w:t xml:space="preserve"> upon the very core of the right to effective judicial protection. The measure addressed in </w:t>
      </w:r>
      <w:r w:rsidR="0066695B" w:rsidRPr="00AB3569">
        <w:rPr>
          <w:i/>
          <w:sz w:val="24"/>
          <w:szCs w:val="24"/>
          <w:lang w:val="en-US"/>
        </w:rPr>
        <w:t>Schrems</w:t>
      </w:r>
      <w:r w:rsidR="0066695B" w:rsidRPr="00AB3569">
        <w:rPr>
          <w:sz w:val="24"/>
          <w:szCs w:val="24"/>
          <w:lang w:val="en-US"/>
        </w:rPr>
        <w:t xml:space="preserve"> failed to provide for an adjudicative machinery to conduct judicial review of compliance with individuals</w:t>
      </w:r>
      <w:r w:rsidR="0014450E" w:rsidRPr="00AB3569">
        <w:rPr>
          <w:sz w:val="24"/>
          <w:szCs w:val="24"/>
          <w:lang w:val="en-US"/>
        </w:rPr>
        <w:t>’</w:t>
      </w:r>
      <w:r w:rsidR="0066695B" w:rsidRPr="00AB3569">
        <w:rPr>
          <w:sz w:val="24"/>
          <w:szCs w:val="24"/>
          <w:lang w:val="en-US"/>
        </w:rPr>
        <w:t xml:space="preserve"> data protection rights. Yet one can </w:t>
      </w:r>
      <w:r w:rsidR="0014450E" w:rsidRPr="00AB3569">
        <w:rPr>
          <w:sz w:val="24"/>
          <w:szCs w:val="24"/>
          <w:lang w:val="en-US"/>
        </w:rPr>
        <w:t xml:space="preserve">easily </w:t>
      </w:r>
      <w:r w:rsidR="0066695B" w:rsidRPr="00AB3569">
        <w:rPr>
          <w:sz w:val="24"/>
          <w:szCs w:val="24"/>
          <w:lang w:val="en-US"/>
        </w:rPr>
        <w:t xml:space="preserve">imagine situations </w:t>
      </w:r>
      <w:r w:rsidR="0014450E" w:rsidRPr="00AB3569">
        <w:rPr>
          <w:sz w:val="24"/>
          <w:szCs w:val="24"/>
          <w:lang w:val="en-US"/>
        </w:rPr>
        <w:t xml:space="preserve">in which </w:t>
      </w:r>
      <w:r w:rsidR="0066695B" w:rsidRPr="00AB3569">
        <w:rPr>
          <w:sz w:val="24"/>
          <w:szCs w:val="24"/>
          <w:lang w:val="en-US"/>
        </w:rPr>
        <w:t>such a machinery is present, but strict procedural rules prevent the claimant from initiating judicial proceedings. This may be due to restrictions as to the type of decision susceptible to judicial review, statutory ouster clauses</w:t>
      </w:r>
      <w:r w:rsidR="0014450E" w:rsidRPr="00AB3569">
        <w:rPr>
          <w:sz w:val="24"/>
          <w:szCs w:val="24"/>
          <w:lang w:val="en-US"/>
        </w:rPr>
        <w:t>,</w:t>
      </w:r>
      <w:r w:rsidR="0066695B" w:rsidRPr="00AB3569">
        <w:rPr>
          <w:sz w:val="24"/>
          <w:szCs w:val="24"/>
          <w:lang w:val="en-US"/>
        </w:rPr>
        <w:t xml:space="preserve"> or rules on </w:t>
      </w:r>
      <w:r w:rsidR="0066695B" w:rsidRPr="00AB3569">
        <w:rPr>
          <w:i/>
          <w:sz w:val="24"/>
          <w:szCs w:val="24"/>
          <w:lang w:val="la-Latn"/>
        </w:rPr>
        <w:t>locus standi</w:t>
      </w:r>
      <w:r w:rsidR="0066695B" w:rsidRPr="00AB3569">
        <w:rPr>
          <w:sz w:val="24"/>
          <w:szCs w:val="24"/>
          <w:lang w:val="en-US"/>
        </w:rPr>
        <w:t xml:space="preserve">. </w:t>
      </w:r>
    </w:p>
    <w:p w14:paraId="7963FEE6" w14:textId="62866956" w:rsidR="0066695B" w:rsidRPr="00AB3569" w:rsidRDefault="0066695B" w:rsidP="0066695B">
      <w:pPr>
        <w:rPr>
          <w:sz w:val="24"/>
          <w:szCs w:val="24"/>
          <w:lang w:val="en-US"/>
        </w:rPr>
      </w:pPr>
      <w:r w:rsidRPr="00AB3569">
        <w:rPr>
          <w:sz w:val="24"/>
          <w:szCs w:val="24"/>
          <w:lang w:val="en-US"/>
        </w:rPr>
        <w:t xml:space="preserve">The Court has never explicitly stated that rules of this kind violate the essence of the right to effective judicial protection. Yet the way the Court goes about in scrutinizing such measures could indicate that this is indeed the case. When examining whether national procedural rules which limit access to a remedy are acceptable, </w:t>
      </w:r>
      <w:r w:rsidR="00C13700" w:rsidRPr="00AB3569">
        <w:rPr>
          <w:sz w:val="24"/>
          <w:szCs w:val="24"/>
          <w:lang w:val="en-US"/>
        </w:rPr>
        <w:t>it</w:t>
      </w:r>
      <w:r w:rsidRPr="00AB3569">
        <w:rPr>
          <w:sz w:val="24"/>
          <w:szCs w:val="24"/>
          <w:lang w:val="en-US"/>
        </w:rPr>
        <w:t xml:space="preserve"> normally applies, or calls on the referring court to apply, the proportionality test laid down in Article 52(1) of the Charter, and balance(s) possible justifications with competing values. Such an approach is </w:t>
      </w:r>
      <w:r w:rsidR="004569A3" w:rsidRPr="00AB3569">
        <w:rPr>
          <w:sz w:val="24"/>
          <w:szCs w:val="24"/>
          <w:lang w:val="en-US"/>
        </w:rPr>
        <w:t xml:space="preserve">evident, </w:t>
      </w:r>
      <w:r w:rsidRPr="00AB3569">
        <w:rPr>
          <w:sz w:val="24"/>
          <w:szCs w:val="24"/>
          <w:lang w:val="en-US"/>
        </w:rPr>
        <w:t>for instance</w:t>
      </w:r>
      <w:r w:rsidR="004569A3" w:rsidRPr="00AB3569">
        <w:rPr>
          <w:sz w:val="24"/>
          <w:szCs w:val="24"/>
          <w:lang w:val="en-US"/>
        </w:rPr>
        <w:t>,</w:t>
      </w:r>
      <w:r w:rsidRPr="00AB3569">
        <w:rPr>
          <w:sz w:val="24"/>
          <w:szCs w:val="24"/>
          <w:lang w:val="en-US"/>
        </w:rPr>
        <w:t xml:space="preserve"> in the jurisprudence pertaining to the payment of court fees,</w:t>
      </w:r>
      <w:r w:rsidRPr="00AB3569">
        <w:rPr>
          <w:rStyle w:val="FootnoteReference"/>
          <w:sz w:val="24"/>
          <w:szCs w:val="24"/>
          <w:lang w:val="en-US"/>
        </w:rPr>
        <w:footnoteReference w:id="88"/>
      </w:r>
      <w:r w:rsidRPr="00AB3569">
        <w:rPr>
          <w:sz w:val="24"/>
          <w:szCs w:val="24"/>
          <w:lang w:val="en-US"/>
        </w:rPr>
        <w:t xml:space="preserve"> legal aid</w:t>
      </w:r>
      <w:r w:rsidR="004569A3" w:rsidRPr="00AB3569">
        <w:rPr>
          <w:sz w:val="24"/>
          <w:szCs w:val="24"/>
          <w:lang w:val="en-US"/>
        </w:rPr>
        <w:t>,</w:t>
      </w:r>
      <w:r w:rsidRPr="00AB3569">
        <w:rPr>
          <w:rStyle w:val="FootnoteReference"/>
          <w:sz w:val="24"/>
          <w:szCs w:val="24"/>
          <w:lang w:val="en-US"/>
        </w:rPr>
        <w:footnoteReference w:id="89"/>
      </w:r>
      <w:r w:rsidRPr="00AB3569">
        <w:rPr>
          <w:sz w:val="24"/>
          <w:szCs w:val="24"/>
          <w:lang w:val="en-US"/>
        </w:rPr>
        <w:t xml:space="preserve"> and mandatory pre-trial obligations.</w:t>
      </w:r>
      <w:r w:rsidRPr="00AB3569">
        <w:rPr>
          <w:rStyle w:val="FootnoteReference"/>
          <w:sz w:val="24"/>
          <w:szCs w:val="24"/>
          <w:lang w:val="en-US"/>
        </w:rPr>
        <w:footnoteReference w:id="90"/>
      </w:r>
      <w:r w:rsidRPr="00AB3569">
        <w:rPr>
          <w:sz w:val="24"/>
          <w:szCs w:val="24"/>
          <w:lang w:val="en-US"/>
        </w:rPr>
        <w:t xml:space="preserve"> The Court has accepted that there may be valid reasons for Member States to set requirements for access to a remedy; court fees can</w:t>
      </w:r>
      <w:r w:rsidR="004569A3" w:rsidRPr="00AB3569">
        <w:rPr>
          <w:sz w:val="24"/>
          <w:szCs w:val="24"/>
          <w:lang w:val="en-US"/>
        </w:rPr>
        <w:t>,</w:t>
      </w:r>
      <w:r w:rsidRPr="00AB3569">
        <w:rPr>
          <w:sz w:val="24"/>
          <w:szCs w:val="24"/>
          <w:lang w:val="en-US"/>
        </w:rPr>
        <w:t xml:space="preserve"> for instance</w:t>
      </w:r>
      <w:r w:rsidR="004569A3" w:rsidRPr="00AB3569">
        <w:rPr>
          <w:sz w:val="24"/>
          <w:szCs w:val="24"/>
          <w:lang w:val="en-US"/>
        </w:rPr>
        <w:t>,</w:t>
      </w:r>
      <w:r w:rsidRPr="00AB3569">
        <w:rPr>
          <w:sz w:val="24"/>
          <w:szCs w:val="24"/>
          <w:lang w:val="en-US"/>
        </w:rPr>
        <w:t xml:space="preserve"> constitute a source of funding which contribute</w:t>
      </w:r>
      <w:r w:rsidR="004569A3" w:rsidRPr="00AB3569">
        <w:rPr>
          <w:sz w:val="24"/>
          <w:szCs w:val="24"/>
          <w:lang w:val="en-US"/>
        </w:rPr>
        <w:t>s</w:t>
      </w:r>
      <w:r w:rsidRPr="00AB3569">
        <w:rPr>
          <w:sz w:val="24"/>
          <w:szCs w:val="24"/>
          <w:lang w:val="en-US"/>
        </w:rPr>
        <w:t xml:space="preserve"> to the proper functioning of the judicial system</w:t>
      </w:r>
      <w:r w:rsidR="00FC4E4C" w:rsidRPr="00AB3569">
        <w:rPr>
          <w:sz w:val="24"/>
          <w:szCs w:val="24"/>
          <w:lang w:val="en-US"/>
        </w:rPr>
        <w:t xml:space="preserve"> and avoid manifestly unfounded claims</w:t>
      </w:r>
      <w:r w:rsidRPr="00AB3569">
        <w:rPr>
          <w:sz w:val="24"/>
          <w:szCs w:val="24"/>
          <w:lang w:val="en-US"/>
        </w:rPr>
        <w:t>,</w:t>
      </w:r>
      <w:r w:rsidRPr="00AB3569">
        <w:rPr>
          <w:rStyle w:val="FootnoteReference"/>
          <w:sz w:val="24"/>
          <w:szCs w:val="24"/>
          <w:lang w:val="en-US"/>
        </w:rPr>
        <w:footnoteReference w:id="91"/>
      </w:r>
      <w:r w:rsidRPr="00AB3569">
        <w:rPr>
          <w:sz w:val="24"/>
          <w:szCs w:val="24"/>
          <w:lang w:val="en-US"/>
        </w:rPr>
        <w:t xml:space="preserve"> and mandatory </w:t>
      </w:r>
      <w:r w:rsidR="00765498" w:rsidRPr="00AB3569">
        <w:rPr>
          <w:sz w:val="24"/>
          <w:szCs w:val="24"/>
          <w:lang w:val="en-US"/>
        </w:rPr>
        <w:t xml:space="preserve">out-of-court </w:t>
      </w:r>
      <w:r w:rsidRPr="00AB3569">
        <w:rPr>
          <w:sz w:val="24"/>
          <w:szCs w:val="24"/>
          <w:lang w:val="en-US"/>
        </w:rPr>
        <w:t>settlement procedures provide quicker and less expensive settlements of disputes and relieve pressure on the courts’ dockets.</w:t>
      </w:r>
      <w:r w:rsidRPr="00AB3569">
        <w:rPr>
          <w:rStyle w:val="FootnoteReference"/>
          <w:sz w:val="24"/>
          <w:szCs w:val="24"/>
          <w:lang w:val="en-US"/>
        </w:rPr>
        <w:footnoteReference w:id="92"/>
      </w:r>
      <w:r w:rsidRPr="00AB3569">
        <w:rPr>
          <w:sz w:val="24"/>
          <w:szCs w:val="24"/>
          <w:lang w:val="en-US"/>
        </w:rPr>
        <w:t xml:space="preserve"> To determine whether a limitation on the right to effective judicial protection is legitimate, a balance must be struck between the values protected by Article 47 of the Charter and these competing values. Remarkably</w:t>
      </w:r>
      <w:r w:rsidR="004569A3" w:rsidRPr="00AB3569">
        <w:rPr>
          <w:sz w:val="24"/>
          <w:szCs w:val="24"/>
          <w:lang w:val="en-US"/>
        </w:rPr>
        <w:t>,</w:t>
      </w:r>
      <w:r w:rsidRPr="00AB3569">
        <w:rPr>
          <w:sz w:val="24"/>
          <w:szCs w:val="24"/>
          <w:lang w:val="en-US"/>
        </w:rPr>
        <w:t xml:space="preserve"> though, there are no signs of this balancing approach </w:t>
      </w:r>
      <w:r w:rsidR="004569A3" w:rsidRPr="00AB3569">
        <w:rPr>
          <w:sz w:val="24"/>
          <w:szCs w:val="24"/>
          <w:lang w:val="en-US"/>
        </w:rPr>
        <w:t xml:space="preserve">being taken </w:t>
      </w:r>
      <w:r w:rsidRPr="00AB3569">
        <w:rPr>
          <w:sz w:val="24"/>
          <w:szCs w:val="24"/>
          <w:lang w:val="en-US"/>
        </w:rPr>
        <w:t xml:space="preserve">in several rulings where the Court has been called upon to address domestic provisions completely barring a claimant from seizing a court. </w:t>
      </w:r>
    </w:p>
    <w:p w14:paraId="0C36C4A7" w14:textId="420DB393" w:rsidR="0066695B" w:rsidRPr="00AB3569" w:rsidRDefault="0066695B" w:rsidP="00C1797F">
      <w:pPr>
        <w:rPr>
          <w:sz w:val="24"/>
          <w:szCs w:val="24"/>
          <w:lang w:val="en-US"/>
        </w:rPr>
      </w:pPr>
      <w:r w:rsidRPr="00AB3569">
        <w:rPr>
          <w:sz w:val="24"/>
          <w:szCs w:val="24"/>
          <w:lang w:val="en-US"/>
        </w:rPr>
        <w:t xml:space="preserve">The </w:t>
      </w:r>
      <w:r w:rsidR="007B6D4B" w:rsidRPr="00AB3569">
        <w:rPr>
          <w:sz w:val="24"/>
          <w:szCs w:val="24"/>
          <w:lang w:val="en-US"/>
        </w:rPr>
        <w:t>ECJ</w:t>
      </w:r>
      <w:r w:rsidRPr="00AB3569">
        <w:rPr>
          <w:sz w:val="24"/>
          <w:szCs w:val="24"/>
          <w:lang w:val="en-US"/>
        </w:rPr>
        <w:t xml:space="preserve"> has relied on Article 47 of the Charter in order to preclude national rules on </w:t>
      </w:r>
      <w:r w:rsidRPr="00AB3569">
        <w:rPr>
          <w:i/>
          <w:sz w:val="24"/>
          <w:szCs w:val="24"/>
          <w:lang w:val="la-Latn"/>
        </w:rPr>
        <w:t>locus standi</w:t>
      </w:r>
      <w:r w:rsidRPr="00AB3569">
        <w:rPr>
          <w:sz w:val="24"/>
          <w:szCs w:val="24"/>
          <w:lang w:val="en-US"/>
        </w:rPr>
        <w:t>,</w:t>
      </w:r>
      <w:r w:rsidR="00237AAB" w:rsidRPr="00AB3569">
        <w:rPr>
          <w:sz w:val="24"/>
          <w:szCs w:val="24"/>
          <w:lang w:val="en-US"/>
        </w:rPr>
        <w:t xml:space="preserve"> </w:t>
      </w:r>
      <w:r w:rsidRPr="00AB3569">
        <w:rPr>
          <w:sz w:val="24"/>
          <w:szCs w:val="24"/>
          <w:lang w:val="en-US"/>
        </w:rPr>
        <w:t xml:space="preserve">depriving the claimant from the possibility to initiate legal proceedings. In </w:t>
      </w:r>
      <w:r w:rsidRPr="00AB3569">
        <w:rPr>
          <w:i/>
          <w:sz w:val="24"/>
          <w:szCs w:val="24"/>
          <w:lang w:val="en-US"/>
        </w:rPr>
        <w:t>Olainfarm</w:t>
      </w:r>
      <w:r w:rsidRPr="00AB3569">
        <w:rPr>
          <w:sz w:val="24"/>
          <w:szCs w:val="24"/>
          <w:lang w:val="en-US"/>
        </w:rPr>
        <w:t xml:space="preserve"> and </w:t>
      </w:r>
      <w:r w:rsidRPr="00AB3569">
        <w:rPr>
          <w:i/>
          <w:sz w:val="24"/>
          <w:szCs w:val="24"/>
          <w:lang w:val="en-US"/>
        </w:rPr>
        <w:t>E.ON Földgaz</w:t>
      </w:r>
      <w:r w:rsidRPr="00AB3569">
        <w:rPr>
          <w:sz w:val="24"/>
          <w:szCs w:val="24"/>
          <w:lang w:val="en-US"/>
        </w:rPr>
        <w:t>, the Court found that private parties whose EU rights were potentially in</w:t>
      </w:r>
      <w:r w:rsidR="00C13700" w:rsidRPr="00AB3569">
        <w:rPr>
          <w:sz w:val="24"/>
          <w:szCs w:val="24"/>
          <w:lang w:val="en-US"/>
        </w:rPr>
        <w:t xml:space="preserve">fringed by decisions taken by </w:t>
      </w:r>
      <w:r w:rsidRPr="00AB3569">
        <w:rPr>
          <w:sz w:val="24"/>
          <w:szCs w:val="24"/>
          <w:lang w:val="en-US"/>
        </w:rPr>
        <w:t>national authorities must have standing to challenge such decision</w:t>
      </w:r>
      <w:r w:rsidR="00C13700" w:rsidRPr="00AB3569">
        <w:rPr>
          <w:sz w:val="24"/>
          <w:szCs w:val="24"/>
          <w:lang w:val="en-US"/>
        </w:rPr>
        <w:t>s</w:t>
      </w:r>
      <w:r w:rsidRPr="00AB3569">
        <w:rPr>
          <w:sz w:val="24"/>
          <w:szCs w:val="24"/>
          <w:lang w:val="en-US"/>
        </w:rPr>
        <w:t xml:space="preserve"> in court.</w:t>
      </w:r>
      <w:r w:rsidRPr="00AB3569">
        <w:rPr>
          <w:rStyle w:val="FootnoteReference"/>
          <w:sz w:val="24"/>
          <w:szCs w:val="24"/>
          <w:lang w:val="en-US"/>
        </w:rPr>
        <w:footnoteReference w:id="93"/>
      </w:r>
      <w:r w:rsidRPr="00AB3569">
        <w:rPr>
          <w:sz w:val="24"/>
          <w:szCs w:val="24"/>
          <w:lang w:val="en-US"/>
        </w:rPr>
        <w:t xml:space="preserve"> The</w:t>
      </w:r>
      <w:r w:rsidR="0097073E" w:rsidRPr="00AB3569">
        <w:rPr>
          <w:sz w:val="24"/>
          <w:szCs w:val="24"/>
          <w:lang w:val="en-US"/>
        </w:rPr>
        <w:t>re is no mention in these cases</w:t>
      </w:r>
      <w:r w:rsidR="00AF755B" w:rsidRPr="00AB3569">
        <w:rPr>
          <w:sz w:val="24"/>
          <w:szCs w:val="24"/>
          <w:lang w:val="en-US"/>
        </w:rPr>
        <w:t xml:space="preserve"> of any specific factors that co</w:t>
      </w:r>
      <w:r w:rsidR="0097073E" w:rsidRPr="00AB3569">
        <w:rPr>
          <w:sz w:val="24"/>
          <w:szCs w:val="24"/>
          <w:lang w:val="en-US"/>
        </w:rPr>
        <w:t xml:space="preserve">uld </w:t>
      </w:r>
      <w:r w:rsidRPr="00AB3569">
        <w:rPr>
          <w:sz w:val="24"/>
          <w:szCs w:val="24"/>
          <w:lang w:val="en-US"/>
        </w:rPr>
        <w:t xml:space="preserve">justify restrictions in this regard. The reason the Court does not resort to its traditional approach in these cases can be explained by the fact that a denial of </w:t>
      </w:r>
      <w:r w:rsidRPr="00AB3569">
        <w:rPr>
          <w:i/>
          <w:sz w:val="24"/>
          <w:szCs w:val="24"/>
          <w:lang w:val="la-Latn"/>
        </w:rPr>
        <w:t>locus standi</w:t>
      </w:r>
      <w:r w:rsidRPr="00AB3569">
        <w:rPr>
          <w:sz w:val="24"/>
          <w:szCs w:val="24"/>
          <w:lang w:val="en-US"/>
        </w:rPr>
        <w:t xml:space="preserve"> would undermine the very essence of the right to effective judicial protection, since it would constitute an absolute obstacle to enforcement. Allowing States to bar enforcement of Union rights through restrictive rules on standing would in effect render these rights nugatory. </w:t>
      </w:r>
      <w:r w:rsidR="00C1797F" w:rsidRPr="00AB3569">
        <w:rPr>
          <w:sz w:val="24"/>
          <w:szCs w:val="24"/>
          <w:lang w:val="en-US"/>
        </w:rPr>
        <w:t>After all, access to judicial process is a necessary precondition for obtaining effective judicial protection of Union rights.</w:t>
      </w:r>
    </w:p>
    <w:p w14:paraId="2C230154" w14:textId="41F4B68E" w:rsidR="0066695B" w:rsidRPr="00AB3569" w:rsidRDefault="0066695B" w:rsidP="0066695B">
      <w:pPr>
        <w:rPr>
          <w:sz w:val="24"/>
          <w:szCs w:val="24"/>
          <w:lang w:val="en-US"/>
        </w:rPr>
      </w:pPr>
      <w:r w:rsidRPr="00AB3569">
        <w:rPr>
          <w:sz w:val="24"/>
          <w:szCs w:val="24"/>
          <w:lang w:val="en-US"/>
        </w:rPr>
        <w:t xml:space="preserve">A similar approach can be found in the case law pertaining to the type of acts susceptible to judicial review. In </w:t>
      </w:r>
      <w:r w:rsidRPr="00AB3569">
        <w:rPr>
          <w:i/>
          <w:sz w:val="24"/>
          <w:szCs w:val="24"/>
          <w:lang w:val="en-US"/>
        </w:rPr>
        <w:t>Borelli</w:t>
      </w:r>
      <w:r w:rsidR="00C13700" w:rsidRPr="00AB3569">
        <w:rPr>
          <w:sz w:val="24"/>
          <w:szCs w:val="24"/>
          <w:lang w:val="en-US"/>
        </w:rPr>
        <w:t>, where the C</w:t>
      </w:r>
      <w:r w:rsidRPr="00AB3569">
        <w:rPr>
          <w:sz w:val="24"/>
          <w:szCs w:val="24"/>
          <w:lang w:val="en-US"/>
        </w:rPr>
        <w:t>ourt was asked about the right to challenge a measure rendered in the course of a composite decisi</w:t>
      </w:r>
      <w:r w:rsidR="00B832AE" w:rsidRPr="00AB3569">
        <w:rPr>
          <w:sz w:val="24"/>
          <w:szCs w:val="24"/>
          <w:lang w:val="en-US"/>
        </w:rPr>
        <w:t>on</w:t>
      </w:r>
      <w:r w:rsidR="00C16DB2" w:rsidRPr="00AB3569">
        <w:rPr>
          <w:sz w:val="24"/>
          <w:szCs w:val="24"/>
          <w:lang w:val="en-US"/>
        </w:rPr>
        <w:t>-</w:t>
      </w:r>
      <w:r w:rsidR="00B832AE" w:rsidRPr="00AB3569">
        <w:rPr>
          <w:sz w:val="24"/>
          <w:szCs w:val="24"/>
          <w:lang w:val="en-US"/>
        </w:rPr>
        <w:t>making procedure, i</w:t>
      </w:r>
      <w:r w:rsidRPr="00AB3569">
        <w:rPr>
          <w:sz w:val="24"/>
          <w:szCs w:val="24"/>
          <w:lang w:val="en-US"/>
        </w:rPr>
        <w:t>t held that it is for the national courts to rule on the lawfulness of such a me</w:t>
      </w:r>
      <w:r w:rsidR="00C16DB2" w:rsidRPr="00AB3569">
        <w:rPr>
          <w:sz w:val="24"/>
          <w:szCs w:val="24"/>
          <w:lang w:val="en-US"/>
        </w:rPr>
        <w:t>a</w:t>
      </w:r>
      <w:r w:rsidRPr="00AB3569">
        <w:rPr>
          <w:sz w:val="24"/>
          <w:szCs w:val="24"/>
          <w:lang w:val="en-US"/>
        </w:rPr>
        <w:t xml:space="preserve">sure on the same terms </w:t>
      </w:r>
      <w:r w:rsidR="00C16DB2" w:rsidRPr="00AB3569">
        <w:rPr>
          <w:sz w:val="24"/>
          <w:szCs w:val="24"/>
          <w:lang w:val="en-US"/>
        </w:rPr>
        <w:t xml:space="preserve">by </w:t>
      </w:r>
      <w:r w:rsidRPr="00AB3569">
        <w:rPr>
          <w:sz w:val="24"/>
          <w:szCs w:val="24"/>
          <w:lang w:val="en-US"/>
        </w:rPr>
        <w:t>which they review any definitive measure adopted by the same national authority which is capable of adversely affecting third parties</w:t>
      </w:r>
      <w:r w:rsidR="00B832AE" w:rsidRPr="00AB3569">
        <w:rPr>
          <w:sz w:val="24"/>
          <w:szCs w:val="24"/>
          <w:lang w:val="en-US"/>
        </w:rPr>
        <w:t>. C</w:t>
      </w:r>
      <w:r w:rsidRPr="00AB3569">
        <w:rPr>
          <w:sz w:val="24"/>
          <w:szCs w:val="24"/>
          <w:lang w:val="en-US"/>
        </w:rPr>
        <w:t xml:space="preserve">onsequently, </w:t>
      </w:r>
      <w:r w:rsidR="00B832AE" w:rsidRPr="00AB3569">
        <w:rPr>
          <w:sz w:val="24"/>
          <w:szCs w:val="24"/>
          <w:lang w:val="en-US"/>
        </w:rPr>
        <w:t>they must ”</w:t>
      </w:r>
      <w:r w:rsidRPr="00AB3569">
        <w:rPr>
          <w:sz w:val="24"/>
          <w:szCs w:val="24"/>
          <w:lang w:val="en-US"/>
        </w:rPr>
        <w:t>regard an action brought for that purpose as admissible even if the domestic rules on procedure do not provide for this in such a case</w:t>
      </w:r>
      <w:r w:rsidR="00C16DB2" w:rsidRPr="00AB3569">
        <w:rPr>
          <w:sz w:val="24"/>
          <w:szCs w:val="24"/>
          <w:lang w:val="en-US"/>
        </w:rPr>
        <w:t>.</w:t>
      </w:r>
      <w:r w:rsidRPr="00AB3569">
        <w:rPr>
          <w:sz w:val="24"/>
          <w:szCs w:val="24"/>
          <w:lang w:val="en-US"/>
        </w:rPr>
        <w:t>”</w:t>
      </w:r>
      <w:r w:rsidRPr="00AB3569">
        <w:rPr>
          <w:rStyle w:val="FootnoteReference"/>
          <w:sz w:val="24"/>
          <w:szCs w:val="24"/>
          <w:lang w:val="en-US"/>
        </w:rPr>
        <w:footnoteReference w:id="94"/>
      </w:r>
      <w:r w:rsidRPr="00AB3569">
        <w:rPr>
          <w:sz w:val="24"/>
          <w:szCs w:val="24"/>
          <w:lang w:val="en-US"/>
        </w:rPr>
        <w:t xml:space="preserve"> The Court is thereby saying that measures capable of adversely affecting the Union rights of individuals must be subject to an appeal before a court. Reference can also be made to the Court’s seminal ruling in </w:t>
      </w:r>
      <w:r w:rsidRPr="00AB3569">
        <w:rPr>
          <w:i/>
          <w:sz w:val="24"/>
          <w:szCs w:val="24"/>
          <w:lang w:val="en-US"/>
        </w:rPr>
        <w:t>Johnston</w:t>
      </w:r>
      <w:r w:rsidRPr="00AB3569">
        <w:rPr>
          <w:sz w:val="24"/>
          <w:szCs w:val="24"/>
          <w:lang w:val="en-US"/>
        </w:rPr>
        <w:t>, where the Court unequivocally stated that a statutory ouster clause, precluding judicial review of an administrative measure in violation of Union law, was contrary to the principle of effective judicial protection.</w:t>
      </w:r>
      <w:r w:rsidRPr="00AB3569">
        <w:rPr>
          <w:rStyle w:val="FootnoteReference"/>
          <w:sz w:val="24"/>
          <w:szCs w:val="24"/>
          <w:lang w:val="en-US"/>
        </w:rPr>
        <w:footnoteReference w:id="95"/>
      </w:r>
      <w:r w:rsidRPr="00AB3569">
        <w:rPr>
          <w:sz w:val="24"/>
          <w:szCs w:val="24"/>
          <w:lang w:val="en-US"/>
        </w:rPr>
        <w:t xml:space="preserve"> </w:t>
      </w:r>
    </w:p>
    <w:p w14:paraId="55F6B201" w14:textId="4B5636E7" w:rsidR="0066695B" w:rsidRPr="00AB3569" w:rsidRDefault="0066695B" w:rsidP="0066695B">
      <w:pPr>
        <w:rPr>
          <w:sz w:val="24"/>
          <w:szCs w:val="24"/>
          <w:lang w:val="en-US"/>
        </w:rPr>
      </w:pPr>
      <w:r w:rsidRPr="00AB3569">
        <w:rPr>
          <w:sz w:val="24"/>
          <w:szCs w:val="24"/>
          <w:lang w:val="en-US"/>
        </w:rPr>
        <w:t xml:space="preserve">The common denominator in these cases is the complete lack of a legal avenue to individuals whose Union rights are impaired. </w:t>
      </w:r>
      <w:r w:rsidR="00742AFA" w:rsidRPr="00AB3569">
        <w:rPr>
          <w:sz w:val="24"/>
          <w:szCs w:val="24"/>
          <w:lang w:val="en-US"/>
        </w:rPr>
        <w:t xml:space="preserve">The thrust of the Court’s jurisprudence seems to be that the possibility of applying to a court for a remedy may be </w:t>
      </w:r>
      <w:r w:rsidR="00742AFA" w:rsidRPr="00AB3569">
        <w:rPr>
          <w:i/>
          <w:sz w:val="24"/>
          <w:szCs w:val="24"/>
          <w:lang w:val="en-US"/>
        </w:rPr>
        <w:t>restricted</w:t>
      </w:r>
      <w:r w:rsidR="00742AFA" w:rsidRPr="00AB3569">
        <w:rPr>
          <w:sz w:val="24"/>
          <w:szCs w:val="24"/>
          <w:lang w:val="en-US"/>
        </w:rPr>
        <w:t xml:space="preserve">, but not </w:t>
      </w:r>
      <w:r w:rsidR="00742AFA" w:rsidRPr="00AB3569">
        <w:rPr>
          <w:i/>
          <w:sz w:val="24"/>
          <w:szCs w:val="24"/>
          <w:lang w:val="en-US"/>
        </w:rPr>
        <w:t>denied</w:t>
      </w:r>
      <w:r w:rsidR="00742AFA" w:rsidRPr="00AB3569">
        <w:rPr>
          <w:sz w:val="24"/>
          <w:szCs w:val="24"/>
          <w:lang w:val="en-US"/>
        </w:rPr>
        <w:t xml:space="preserve"> altogether. </w:t>
      </w:r>
      <w:r w:rsidRPr="00AB3569">
        <w:rPr>
          <w:sz w:val="24"/>
          <w:szCs w:val="24"/>
          <w:lang w:val="en-US"/>
        </w:rPr>
        <w:t xml:space="preserve">Although the Court does not say so explicitly, it can arguably </w:t>
      </w:r>
      <w:r w:rsidR="009E4DC7" w:rsidRPr="00AB3569">
        <w:rPr>
          <w:sz w:val="24"/>
          <w:szCs w:val="24"/>
          <w:lang w:val="en-US"/>
        </w:rPr>
        <w:t xml:space="preserve">be </w:t>
      </w:r>
      <w:r w:rsidRPr="00AB3569">
        <w:rPr>
          <w:sz w:val="24"/>
          <w:szCs w:val="24"/>
          <w:lang w:val="en-US"/>
        </w:rPr>
        <w:t xml:space="preserve">read between the lines of these judgments that measures </w:t>
      </w:r>
      <w:r w:rsidR="009E4DC7" w:rsidRPr="00AB3569">
        <w:rPr>
          <w:sz w:val="24"/>
          <w:szCs w:val="24"/>
          <w:lang w:val="en-US"/>
        </w:rPr>
        <w:t xml:space="preserve">that </w:t>
      </w:r>
      <w:r w:rsidRPr="00AB3569">
        <w:rPr>
          <w:i/>
          <w:sz w:val="24"/>
          <w:szCs w:val="24"/>
          <w:lang w:val="en-US"/>
        </w:rPr>
        <w:t>entirely deprive</w:t>
      </w:r>
      <w:r w:rsidRPr="00AB3569">
        <w:rPr>
          <w:sz w:val="24"/>
          <w:szCs w:val="24"/>
          <w:lang w:val="en-US"/>
        </w:rPr>
        <w:t xml:space="preserve"> indi</w:t>
      </w:r>
      <w:r w:rsidR="009E4DC7" w:rsidRPr="00AB3569">
        <w:rPr>
          <w:sz w:val="24"/>
          <w:szCs w:val="24"/>
          <w:lang w:val="en-US"/>
        </w:rPr>
        <w:t>vi</w:t>
      </w:r>
      <w:r w:rsidRPr="00AB3569">
        <w:rPr>
          <w:sz w:val="24"/>
          <w:szCs w:val="24"/>
          <w:lang w:val="en-US"/>
        </w:rPr>
        <w:t>duals of a legal avenue i</w:t>
      </w:r>
      <w:r w:rsidR="009E4DC7" w:rsidRPr="00AB3569">
        <w:rPr>
          <w:sz w:val="24"/>
          <w:szCs w:val="24"/>
          <w:lang w:val="en-US"/>
        </w:rPr>
        <w:t>m</w:t>
      </w:r>
      <w:r w:rsidRPr="00AB3569">
        <w:rPr>
          <w:sz w:val="24"/>
          <w:szCs w:val="24"/>
          <w:lang w:val="en-US"/>
        </w:rPr>
        <w:t>pinge on the very core of the right laid (now) down in Article 47 of the Charter. Consequently, there can be no possible justification for such breaches.</w:t>
      </w:r>
    </w:p>
    <w:p w14:paraId="7417BCEE" w14:textId="77777777" w:rsidR="002C2D04" w:rsidRPr="00AB3569" w:rsidRDefault="00093FD8" w:rsidP="002C2D04">
      <w:pPr>
        <w:rPr>
          <w:rFonts w:eastAsia="PMingLiU"/>
          <w:sz w:val="24"/>
          <w:szCs w:val="24"/>
          <w:lang w:val="en-US" w:eastAsia="zh-TW"/>
        </w:rPr>
      </w:pPr>
      <w:r w:rsidRPr="00AB3569">
        <w:rPr>
          <w:sz w:val="24"/>
          <w:szCs w:val="24"/>
          <w:lang w:val="en-US"/>
        </w:rPr>
        <w:t>The</w:t>
      </w:r>
      <w:r w:rsidR="0066695B" w:rsidRPr="00AB3569">
        <w:rPr>
          <w:sz w:val="24"/>
          <w:szCs w:val="24"/>
          <w:lang w:val="en-US"/>
        </w:rPr>
        <w:t xml:space="preserve"> poss</w:t>
      </w:r>
      <w:r w:rsidR="00067F0C" w:rsidRPr="00AB3569">
        <w:rPr>
          <w:sz w:val="24"/>
          <w:szCs w:val="24"/>
          <w:lang w:val="en-US"/>
        </w:rPr>
        <w:t xml:space="preserve">ibility of judicial </w:t>
      </w:r>
      <w:r w:rsidRPr="00AB3569">
        <w:rPr>
          <w:sz w:val="24"/>
          <w:szCs w:val="24"/>
          <w:lang w:val="en-US"/>
        </w:rPr>
        <w:t>review to ensure compliance with EU law is</w:t>
      </w:r>
      <w:r w:rsidR="00067F0C" w:rsidRPr="00AB3569">
        <w:rPr>
          <w:sz w:val="24"/>
          <w:szCs w:val="24"/>
          <w:lang w:val="en-US"/>
        </w:rPr>
        <w:t xml:space="preserve"> a</w:t>
      </w:r>
      <w:r w:rsidR="0066695B" w:rsidRPr="00AB3569">
        <w:rPr>
          <w:sz w:val="24"/>
          <w:szCs w:val="24"/>
          <w:lang w:val="en-US"/>
        </w:rPr>
        <w:t>n essential ‘rule of law’ requirement</w:t>
      </w:r>
      <w:r w:rsidR="00243C9F" w:rsidRPr="00AB3569">
        <w:rPr>
          <w:sz w:val="24"/>
          <w:szCs w:val="24"/>
          <w:lang w:val="en-US"/>
        </w:rPr>
        <w:t>.</w:t>
      </w:r>
      <w:r w:rsidR="00067F0C" w:rsidRPr="00AB3569">
        <w:rPr>
          <w:rStyle w:val="FootnoteReference"/>
          <w:sz w:val="24"/>
          <w:szCs w:val="24"/>
          <w:lang w:val="en-US"/>
        </w:rPr>
        <w:footnoteReference w:id="96"/>
      </w:r>
      <w:r w:rsidR="002C2D04" w:rsidRPr="00AB3569">
        <w:rPr>
          <w:sz w:val="24"/>
          <w:szCs w:val="24"/>
          <w:lang w:val="en-US"/>
        </w:rPr>
        <w:t xml:space="preserve"> As the Court held in</w:t>
      </w:r>
      <w:r w:rsidR="00243C9F" w:rsidRPr="00AB3569">
        <w:rPr>
          <w:sz w:val="24"/>
          <w:szCs w:val="24"/>
          <w:lang w:val="en-US"/>
        </w:rPr>
        <w:t xml:space="preserve"> </w:t>
      </w:r>
      <w:r w:rsidR="002C2D04" w:rsidRPr="00AB3569">
        <w:rPr>
          <w:i/>
          <w:noProof/>
          <w:sz w:val="24"/>
          <w:szCs w:val="24"/>
          <w:lang w:val="en-US"/>
        </w:rPr>
        <w:t>Associação Sindical dos Juízes Portugueses</w:t>
      </w:r>
      <w:r w:rsidR="00F91C3F" w:rsidRPr="00AB3569">
        <w:rPr>
          <w:rFonts w:eastAsia="PMingLiU" w:hint="eastAsia"/>
          <w:sz w:val="24"/>
          <w:szCs w:val="24"/>
          <w:lang w:val="en-US" w:eastAsia="zh-TW"/>
        </w:rPr>
        <w:t xml:space="preserve">, </w:t>
      </w:r>
    </w:p>
    <w:p w14:paraId="4DB7FE3B" w14:textId="1CE5AD8F" w:rsidR="002C2D04" w:rsidRPr="00AB3569" w:rsidRDefault="002C2D04" w:rsidP="002C2D04">
      <w:pPr>
        <w:ind w:left="708"/>
        <w:rPr>
          <w:lang w:val="en-US"/>
        </w:rPr>
      </w:pPr>
      <w:r w:rsidRPr="00AB3569">
        <w:rPr>
          <w:lang w:val="en-US"/>
        </w:rPr>
        <w:t>Article 19 TEU, which gives concrete expression to the value of the rule of law stated in Article 2 TEU, entrusts the responsibility for ensuring judicial review in the EU legal order not only to the Court of Justice but also to national courts and tribunals.</w:t>
      </w:r>
      <w:r w:rsidRPr="00AB3569">
        <w:rPr>
          <w:rStyle w:val="FootnoteReference"/>
          <w:lang w:val="en-US"/>
        </w:rPr>
        <w:footnoteReference w:id="97"/>
      </w:r>
    </w:p>
    <w:p w14:paraId="26A0FC5F" w14:textId="323FF94D" w:rsidR="0066695B" w:rsidRPr="00AB3569" w:rsidRDefault="00BC263A" w:rsidP="0066695B">
      <w:pPr>
        <w:rPr>
          <w:sz w:val="24"/>
          <w:szCs w:val="24"/>
          <w:lang w:val="en-US"/>
        </w:rPr>
      </w:pPr>
      <w:r w:rsidRPr="00AB3569">
        <w:rPr>
          <w:sz w:val="24"/>
          <w:szCs w:val="24"/>
          <w:lang w:val="en-US"/>
        </w:rPr>
        <w:t>The enactment of a measure that completely deprive</w:t>
      </w:r>
      <w:r w:rsidR="009E4DC7" w:rsidRPr="00AB3569">
        <w:rPr>
          <w:sz w:val="24"/>
          <w:szCs w:val="24"/>
          <w:lang w:val="en-US"/>
        </w:rPr>
        <w:t>s</w:t>
      </w:r>
      <w:r w:rsidRPr="00AB3569">
        <w:rPr>
          <w:sz w:val="24"/>
          <w:szCs w:val="24"/>
          <w:lang w:val="en-US"/>
        </w:rPr>
        <w:t xml:space="preserve"> individuals of their right to judicial control of compliance with their EU rights, would constitute a breach o</w:t>
      </w:r>
      <w:r w:rsidR="009E4DC7" w:rsidRPr="00AB3569">
        <w:rPr>
          <w:sz w:val="24"/>
          <w:szCs w:val="24"/>
          <w:lang w:val="en-US"/>
        </w:rPr>
        <w:t>f</w:t>
      </w:r>
      <w:r w:rsidRPr="00AB3569">
        <w:rPr>
          <w:sz w:val="24"/>
          <w:szCs w:val="24"/>
          <w:lang w:val="en-US"/>
        </w:rPr>
        <w:t xml:space="preserve"> the Member States’ obligation under Article 19(1) TEU to “provide remedies sufficient to ensure effective legal protection in the fields covered by Union law.” </w:t>
      </w:r>
    </w:p>
    <w:p w14:paraId="08FE8150" w14:textId="45CFFFEC" w:rsidR="002E2E06" w:rsidRPr="00AB3569" w:rsidRDefault="002E2E06" w:rsidP="002E2E06">
      <w:pPr>
        <w:rPr>
          <w:sz w:val="24"/>
          <w:szCs w:val="24"/>
          <w:lang w:val="en-US"/>
        </w:rPr>
      </w:pPr>
      <w:r w:rsidRPr="00AB3569">
        <w:rPr>
          <w:sz w:val="24"/>
          <w:szCs w:val="24"/>
          <w:lang w:val="en-US"/>
        </w:rPr>
        <w:t>It bears mention</w:t>
      </w:r>
      <w:r w:rsidR="001D39F9" w:rsidRPr="00AB3569">
        <w:rPr>
          <w:sz w:val="24"/>
          <w:szCs w:val="24"/>
          <w:lang w:val="en-US"/>
        </w:rPr>
        <w:t>ing</w:t>
      </w:r>
      <w:r w:rsidRPr="00AB3569">
        <w:rPr>
          <w:sz w:val="24"/>
          <w:szCs w:val="24"/>
          <w:lang w:val="en-US"/>
        </w:rPr>
        <w:t xml:space="preserve"> that it is </w:t>
      </w:r>
      <w:r w:rsidR="007A1D9C" w:rsidRPr="00AB3569">
        <w:rPr>
          <w:sz w:val="24"/>
          <w:szCs w:val="24"/>
          <w:lang w:val="en-US"/>
        </w:rPr>
        <w:t>not sufficient to assess a</w:t>
      </w:r>
      <w:r w:rsidRPr="00AB3569">
        <w:rPr>
          <w:sz w:val="24"/>
          <w:szCs w:val="24"/>
          <w:lang w:val="en-US"/>
        </w:rPr>
        <w:t xml:space="preserve"> measure </w:t>
      </w:r>
      <w:r w:rsidRPr="00AB3569">
        <w:rPr>
          <w:i/>
          <w:sz w:val="24"/>
          <w:szCs w:val="24"/>
          <w:lang w:val="la-Latn"/>
        </w:rPr>
        <w:t>in abstracto</w:t>
      </w:r>
      <w:r w:rsidRPr="00AB3569">
        <w:rPr>
          <w:sz w:val="24"/>
          <w:szCs w:val="24"/>
          <w:lang w:val="en-US"/>
        </w:rPr>
        <w:t>; a restriction which might be justified in principle, may well infringe the principle of effective judicial protection given t</w:t>
      </w:r>
      <w:r w:rsidR="007A1D9C" w:rsidRPr="00AB3569">
        <w:rPr>
          <w:sz w:val="24"/>
          <w:szCs w:val="24"/>
          <w:lang w:val="en-US"/>
        </w:rPr>
        <w:t>he particular circumstances of the</w:t>
      </w:r>
      <w:r w:rsidRPr="00AB3569">
        <w:rPr>
          <w:sz w:val="24"/>
          <w:szCs w:val="24"/>
          <w:lang w:val="en-US"/>
        </w:rPr>
        <w:t xml:space="preserve"> case. In </w:t>
      </w:r>
      <w:r w:rsidR="006E621A" w:rsidRPr="00AB3569">
        <w:rPr>
          <w:i/>
          <w:noProof/>
          <w:sz w:val="24"/>
          <w:szCs w:val="24"/>
          <w:lang w:val="en-US"/>
        </w:rPr>
        <w:t>Puškár</w:t>
      </w:r>
      <w:r w:rsidRPr="00AB3569">
        <w:rPr>
          <w:sz w:val="24"/>
          <w:szCs w:val="24"/>
          <w:lang w:val="en-US"/>
        </w:rPr>
        <w:t xml:space="preserve">, the Court left it to the referring court to determine whether the rejection of the disputed list respected the essence of the right to judicial protection. </w:t>
      </w:r>
      <w:r w:rsidR="00C13700" w:rsidRPr="00AB3569">
        <w:rPr>
          <w:sz w:val="24"/>
          <w:szCs w:val="24"/>
          <w:lang w:val="en-US"/>
        </w:rPr>
        <w:t>It</w:t>
      </w:r>
      <w:r w:rsidRPr="00AB3569">
        <w:rPr>
          <w:sz w:val="24"/>
          <w:szCs w:val="24"/>
          <w:lang w:val="en-US"/>
        </w:rPr>
        <w:t xml:space="preserve"> stated that, in this context, the referring court should ascertain, in particular, whether the existence of the list and the fact that it contains data relating to the claimant were challenged, and if he has other evidence in that regard.</w:t>
      </w:r>
      <w:r w:rsidRPr="00AB3569">
        <w:rPr>
          <w:rStyle w:val="FootnoteReference"/>
          <w:sz w:val="24"/>
          <w:szCs w:val="24"/>
          <w:lang w:val="en-US"/>
        </w:rPr>
        <w:footnoteReference w:id="98"/>
      </w:r>
      <w:r w:rsidRPr="00AB3569">
        <w:rPr>
          <w:sz w:val="24"/>
          <w:szCs w:val="24"/>
          <w:lang w:val="en-US"/>
        </w:rPr>
        <w:t xml:space="preserve"> The Court thereby encouraged the referring court to examine whether the rejection of the list as inadmissible evidence would mean that the </w:t>
      </w:r>
      <w:r w:rsidRPr="00AB3569">
        <w:rPr>
          <w:i/>
          <w:sz w:val="24"/>
          <w:szCs w:val="24"/>
          <w:lang w:val="en-US"/>
        </w:rPr>
        <w:t>particular</w:t>
      </w:r>
      <w:r w:rsidRPr="00AB3569">
        <w:rPr>
          <w:sz w:val="24"/>
          <w:szCs w:val="24"/>
          <w:lang w:val="en-US"/>
        </w:rPr>
        <w:t xml:space="preserve"> claimant was left wit</w:t>
      </w:r>
      <w:r w:rsidR="001D39F9" w:rsidRPr="00AB3569">
        <w:rPr>
          <w:sz w:val="24"/>
          <w:szCs w:val="24"/>
          <w:lang w:val="en-US"/>
        </w:rPr>
        <w:t>h</w:t>
      </w:r>
      <w:r w:rsidRPr="00AB3569">
        <w:rPr>
          <w:sz w:val="24"/>
          <w:szCs w:val="24"/>
          <w:lang w:val="en-US"/>
        </w:rPr>
        <w:t xml:space="preserve">out a legal remedy. This passage serves to remind the referring court that the question whether there is an infringement of the rights of the right to effective judicial protection must be examined in relation to the specific </w:t>
      </w:r>
      <w:r w:rsidR="007A1D9C" w:rsidRPr="00AB3569">
        <w:rPr>
          <w:sz w:val="24"/>
          <w:szCs w:val="24"/>
          <w:lang w:val="en-US"/>
        </w:rPr>
        <w:t>facts</w:t>
      </w:r>
      <w:r w:rsidRPr="00AB3569">
        <w:rPr>
          <w:sz w:val="24"/>
          <w:szCs w:val="24"/>
          <w:lang w:val="en-US"/>
        </w:rPr>
        <w:t xml:space="preserve"> of each case.</w:t>
      </w:r>
    </w:p>
    <w:p w14:paraId="26B38167" w14:textId="77777777" w:rsidR="00352F6C" w:rsidRPr="00AB3569" w:rsidRDefault="00352F6C" w:rsidP="0066695B">
      <w:pPr>
        <w:rPr>
          <w:sz w:val="24"/>
          <w:szCs w:val="24"/>
          <w:lang w:val="en-US"/>
        </w:rPr>
      </w:pPr>
    </w:p>
    <w:p w14:paraId="4F780DC1" w14:textId="77777777" w:rsidR="009056FF" w:rsidRPr="00AB3569" w:rsidRDefault="00352F6C" w:rsidP="00BD5289">
      <w:pPr>
        <w:pStyle w:val="ListParagraph"/>
        <w:numPr>
          <w:ilvl w:val="0"/>
          <w:numId w:val="1"/>
        </w:numPr>
        <w:rPr>
          <w:b/>
          <w:sz w:val="24"/>
          <w:szCs w:val="24"/>
          <w:lang w:val="en-US"/>
        </w:rPr>
      </w:pPr>
      <w:r w:rsidRPr="00AB3569">
        <w:rPr>
          <w:b/>
          <w:sz w:val="24"/>
          <w:szCs w:val="24"/>
          <w:lang w:val="en-US"/>
        </w:rPr>
        <w:t xml:space="preserve">Conclusion </w:t>
      </w:r>
    </w:p>
    <w:p w14:paraId="4EF0EDE0" w14:textId="7DFDCF57" w:rsidR="008B2AF1" w:rsidRPr="00AB3569" w:rsidRDefault="00D21578" w:rsidP="006D208C">
      <w:pPr>
        <w:rPr>
          <w:sz w:val="24"/>
          <w:szCs w:val="24"/>
          <w:lang w:val="en-US"/>
        </w:rPr>
      </w:pPr>
      <w:r w:rsidRPr="00AB3569">
        <w:rPr>
          <w:sz w:val="24"/>
          <w:szCs w:val="24"/>
          <w:lang w:val="en-US"/>
        </w:rPr>
        <w:t>With th</w:t>
      </w:r>
      <w:r w:rsidR="0040328B" w:rsidRPr="00AB3569">
        <w:rPr>
          <w:sz w:val="24"/>
          <w:szCs w:val="24"/>
          <w:lang w:val="en-US"/>
        </w:rPr>
        <w:t xml:space="preserve">e </w:t>
      </w:r>
      <w:r w:rsidR="006E621A" w:rsidRPr="00AB3569">
        <w:rPr>
          <w:i/>
          <w:noProof/>
          <w:sz w:val="24"/>
          <w:szCs w:val="24"/>
          <w:lang w:val="en-US"/>
        </w:rPr>
        <w:t>Puškár</w:t>
      </w:r>
      <w:r w:rsidR="0040328B" w:rsidRPr="00AB3569">
        <w:rPr>
          <w:i/>
          <w:sz w:val="24"/>
          <w:szCs w:val="24"/>
          <w:lang w:val="en-US"/>
        </w:rPr>
        <w:t xml:space="preserve"> </w:t>
      </w:r>
      <w:r w:rsidR="0040328B" w:rsidRPr="00AB3569">
        <w:rPr>
          <w:sz w:val="24"/>
          <w:szCs w:val="24"/>
          <w:lang w:val="en-US"/>
        </w:rPr>
        <w:t>case, the Court has</w:t>
      </w:r>
      <w:r w:rsidR="00744E38" w:rsidRPr="00AB3569">
        <w:rPr>
          <w:sz w:val="24"/>
          <w:szCs w:val="24"/>
          <w:lang w:val="en-US"/>
        </w:rPr>
        <w:t xml:space="preserve"> elaborated what the principle of effective judicial protection </w:t>
      </w:r>
      <w:r w:rsidR="00720631" w:rsidRPr="00AB3569">
        <w:rPr>
          <w:sz w:val="24"/>
          <w:szCs w:val="24"/>
          <w:lang w:val="en-US"/>
        </w:rPr>
        <w:t xml:space="preserve">laid down </w:t>
      </w:r>
      <w:r w:rsidR="006D6181" w:rsidRPr="00AB3569">
        <w:rPr>
          <w:sz w:val="24"/>
          <w:szCs w:val="24"/>
          <w:lang w:val="en-US"/>
        </w:rPr>
        <w:t xml:space="preserve">in Article 47 of the Charter </w:t>
      </w:r>
      <w:r w:rsidR="00744E38" w:rsidRPr="00AB3569">
        <w:rPr>
          <w:sz w:val="24"/>
          <w:szCs w:val="24"/>
          <w:lang w:val="en-US"/>
        </w:rPr>
        <w:t xml:space="preserve">requires </w:t>
      </w:r>
      <w:r w:rsidR="009056FF" w:rsidRPr="00AB3569">
        <w:rPr>
          <w:sz w:val="24"/>
          <w:szCs w:val="24"/>
          <w:lang w:val="en-US"/>
        </w:rPr>
        <w:t>with respect to</w:t>
      </w:r>
      <w:r w:rsidR="00744E38" w:rsidRPr="00AB3569">
        <w:rPr>
          <w:sz w:val="24"/>
          <w:szCs w:val="24"/>
          <w:lang w:val="en-US"/>
        </w:rPr>
        <w:t xml:space="preserve"> domestic rules </w:t>
      </w:r>
      <w:r w:rsidR="009056FF" w:rsidRPr="00AB3569">
        <w:rPr>
          <w:sz w:val="24"/>
          <w:szCs w:val="24"/>
          <w:lang w:val="en-US"/>
        </w:rPr>
        <w:t>o</w:t>
      </w:r>
      <w:r w:rsidR="00320333" w:rsidRPr="00AB3569">
        <w:rPr>
          <w:sz w:val="24"/>
          <w:szCs w:val="24"/>
          <w:lang w:val="en-US"/>
        </w:rPr>
        <w:t>f</w:t>
      </w:r>
      <w:r w:rsidR="00744E38" w:rsidRPr="00AB3569">
        <w:rPr>
          <w:sz w:val="24"/>
          <w:szCs w:val="24"/>
          <w:lang w:val="en-US"/>
        </w:rPr>
        <w:t xml:space="preserve"> pre-trial obligations and admissible evidence. </w:t>
      </w:r>
      <w:r w:rsidR="006D6181" w:rsidRPr="00AB3569">
        <w:rPr>
          <w:sz w:val="24"/>
          <w:szCs w:val="24"/>
          <w:lang w:val="en-US"/>
        </w:rPr>
        <w:t>In particular, it</w:t>
      </w:r>
      <w:r w:rsidR="00FF61ED" w:rsidRPr="00AB3569">
        <w:rPr>
          <w:sz w:val="24"/>
          <w:szCs w:val="24"/>
          <w:lang w:val="en-US"/>
        </w:rPr>
        <w:t xml:space="preserve"> </w:t>
      </w:r>
      <w:r w:rsidR="006D6181" w:rsidRPr="00AB3569">
        <w:rPr>
          <w:sz w:val="24"/>
          <w:szCs w:val="24"/>
          <w:lang w:val="en-US"/>
        </w:rPr>
        <w:t xml:space="preserve">has </w:t>
      </w:r>
      <w:r w:rsidR="00FF61ED" w:rsidRPr="00AB3569">
        <w:rPr>
          <w:sz w:val="24"/>
          <w:szCs w:val="24"/>
          <w:lang w:val="en-US"/>
        </w:rPr>
        <w:t>provide</w:t>
      </w:r>
      <w:r w:rsidR="00811FE3" w:rsidRPr="00AB3569">
        <w:rPr>
          <w:sz w:val="24"/>
          <w:szCs w:val="24"/>
          <w:lang w:val="en-US"/>
        </w:rPr>
        <w:t>d valuable guidance on</w:t>
      </w:r>
      <w:r w:rsidR="00720631" w:rsidRPr="00AB3569">
        <w:rPr>
          <w:sz w:val="24"/>
          <w:szCs w:val="24"/>
          <w:lang w:val="en-US"/>
        </w:rPr>
        <w:t xml:space="preserve"> what it takes for</w:t>
      </w:r>
      <w:r w:rsidR="00FF61ED" w:rsidRPr="00AB3569">
        <w:rPr>
          <w:sz w:val="24"/>
          <w:szCs w:val="24"/>
          <w:lang w:val="en-US"/>
        </w:rPr>
        <w:t xml:space="preserve"> </w:t>
      </w:r>
      <w:r w:rsidR="00720631" w:rsidRPr="00AB3569">
        <w:rPr>
          <w:sz w:val="24"/>
          <w:szCs w:val="24"/>
          <w:lang w:val="en-US"/>
        </w:rPr>
        <w:t xml:space="preserve">such </w:t>
      </w:r>
      <w:r w:rsidR="00FF61ED" w:rsidRPr="00AB3569">
        <w:rPr>
          <w:sz w:val="24"/>
          <w:szCs w:val="24"/>
          <w:lang w:val="en-US"/>
        </w:rPr>
        <w:t>procedural restriction</w:t>
      </w:r>
      <w:r w:rsidR="00720631" w:rsidRPr="00AB3569">
        <w:rPr>
          <w:sz w:val="24"/>
          <w:szCs w:val="24"/>
          <w:lang w:val="en-US"/>
        </w:rPr>
        <w:t>s</w:t>
      </w:r>
      <w:r w:rsidR="00FF61ED" w:rsidRPr="00AB3569">
        <w:rPr>
          <w:sz w:val="24"/>
          <w:szCs w:val="24"/>
          <w:lang w:val="en-US"/>
        </w:rPr>
        <w:t xml:space="preserve"> </w:t>
      </w:r>
      <w:r w:rsidR="00720631" w:rsidRPr="00AB3569">
        <w:rPr>
          <w:sz w:val="24"/>
          <w:szCs w:val="24"/>
          <w:lang w:val="en-US"/>
        </w:rPr>
        <w:t>to be</w:t>
      </w:r>
      <w:r w:rsidR="006D6181" w:rsidRPr="00AB3569">
        <w:rPr>
          <w:sz w:val="24"/>
          <w:szCs w:val="24"/>
          <w:lang w:val="en-US"/>
        </w:rPr>
        <w:t xml:space="preserve"> acceptable under Article 52(1) of the Charter. </w:t>
      </w:r>
      <w:r w:rsidR="009056FF" w:rsidRPr="00AB3569">
        <w:rPr>
          <w:sz w:val="24"/>
          <w:szCs w:val="24"/>
          <w:lang w:val="en-US"/>
        </w:rPr>
        <w:t xml:space="preserve">The findings of the Court </w:t>
      </w:r>
      <w:r w:rsidR="0047087A" w:rsidRPr="00AB3569">
        <w:rPr>
          <w:sz w:val="24"/>
          <w:szCs w:val="24"/>
          <w:lang w:val="en-US"/>
        </w:rPr>
        <w:t>contribute to ensuring</w:t>
      </w:r>
      <w:r w:rsidR="00ED73B4" w:rsidRPr="00AB3569">
        <w:rPr>
          <w:sz w:val="24"/>
          <w:szCs w:val="24"/>
          <w:lang w:val="en-US"/>
        </w:rPr>
        <w:t xml:space="preserve"> that individual data protection </w:t>
      </w:r>
      <w:r w:rsidR="009056FF" w:rsidRPr="00AB3569">
        <w:rPr>
          <w:sz w:val="24"/>
          <w:szCs w:val="24"/>
          <w:lang w:val="en-US"/>
        </w:rPr>
        <w:t xml:space="preserve">rights stemming from </w:t>
      </w:r>
      <w:r w:rsidR="000C61BC" w:rsidRPr="00AB3569">
        <w:rPr>
          <w:sz w:val="24"/>
          <w:szCs w:val="24"/>
          <w:lang w:val="en-US"/>
        </w:rPr>
        <w:t>GDPR ha</w:t>
      </w:r>
      <w:r w:rsidR="00811FE3" w:rsidRPr="00AB3569">
        <w:rPr>
          <w:sz w:val="24"/>
          <w:szCs w:val="24"/>
          <w:lang w:val="en-US"/>
        </w:rPr>
        <w:t xml:space="preserve">ve legal bite. </w:t>
      </w:r>
      <w:r w:rsidR="005F3BC7" w:rsidRPr="00AB3569">
        <w:rPr>
          <w:sz w:val="24"/>
          <w:szCs w:val="24"/>
          <w:lang w:val="en-US"/>
        </w:rPr>
        <w:t>At the same time,</w:t>
      </w:r>
      <w:r w:rsidR="008F4A14" w:rsidRPr="00AB3569">
        <w:rPr>
          <w:sz w:val="24"/>
          <w:szCs w:val="24"/>
          <w:lang w:val="en-US"/>
        </w:rPr>
        <w:t xml:space="preserve"> due to the method of precedent applied by the Court,</w:t>
      </w:r>
      <w:r w:rsidR="005F3BC7" w:rsidRPr="00AB3569">
        <w:rPr>
          <w:sz w:val="24"/>
          <w:szCs w:val="24"/>
          <w:lang w:val="en-US"/>
        </w:rPr>
        <w:t xml:space="preserve"> t</w:t>
      </w:r>
      <w:r w:rsidR="00ED73B4" w:rsidRPr="00AB3569">
        <w:rPr>
          <w:sz w:val="24"/>
          <w:szCs w:val="24"/>
          <w:lang w:val="en-US"/>
        </w:rPr>
        <w:t xml:space="preserve">he </w:t>
      </w:r>
      <w:r w:rsidR="00720631" w:rsidRPr="00AB3569">
        <w:rPr>
          <w:sz w:val="24"/>
          <w:szCs w:val="24"/>
          <w:lang w:val="en-US"/>
        </w:rPr>
        <w:t>ruling</w:t>
      </w:r>
      <w:r w:rsidR="00ED73B4" w:rsidRPr="00AB3569">
        <w:rPr>
          <w:sz w:val="24"/>
          <w:szCs w:val="24"/>
          <w:lang w:val="en-US"/>
        </w:rPr>
        <w:t xml:space="preserve"> is </w:t>
      </w:r>
      <w:r w:rsidR="002E6048" w:rsidRPr="00AB3569">
        <w:rPr>
          <w:sz w:val="24"/>
          <w:szCs w:val="24"/>
          <w:lang w:val="en-US"/>
        </w:rPr>
        <w:t>relevant</w:t>
      </w:r>
      <w:r w:rsidR="00ED73B4" w:rsidRPr="00AB3569">
        <w:rPr>
          <w:sz w:val="24"/>
          <w:szCs w:val="24"/>
          <w:lang w:val="en-US"/>
        </w:rPr>
        <w:t xml:space="preserve"> beyond th</w:t>
      </w:r>
      <w:r w:rsidR="002E6048" w:rsidRPr="00AB3569">
        <w:rPr>
          <w:sz w:val="24"/>
          <w:szCs w:val="24"/>
          <w:lang w:val="en-US"/>
        </w:rPr>
        <w:t>e field of data protection law</w:t>
      </w:r>
      <w:r w:rsidR="00D10A72" w:rsidRPr="00AB3569">
        <w:rPr>
          <w:sz w:val="24"/>
          <w:szCs w:val="24"/>
          <w:lang w:val="en-US"/>
        </w:rPr>
        <w:t xml:space="preserve">. </w:t>
      </w:r>
      <w:r w:rsidR="000E7744" w:rsidRPr="00AB3569">
        <w:rPr>
          <w:sz w:val="24"/>
          <w:szCs w:val="24"/>
          <w:lang w:val="en-US"/>
        </w:rPr>
        <w:t xml:space="preserve">The Court </w:t>
      </w:r>
      <w:r w:rsidR="00AC1D2D" w:rsidRPr="00AB3569">
        <w:rPr>
          <w:sz w:val="24"/>
          <w:szCs w:val="24"/>
          <w:lang w:val="en-US"/>
        </w:rPr>
        <w:t xml:space="preserve">makes </w:t>
      </w:r>
      <w:r w:rsidR="000E7744" w:rsidRPr="00AB3569">
        <w:rPr>
          <w:sz w:val="24"/>
          <w:szCs w:val="24"/>
          <w:lang w:val="en-US"/>
        </w:rPr>
        <w:t>connections between cases at a high</w:t>
      </w:r>
      <w:r w:rsidR="00AC1D2D" w:rsidRPr="00AB3569">
        <w:rPr>
          <w:sz w:val="24"/>
          <w:szCs w:val="24"/>
          <w:lang w:val="en-US"/>
        </w:rPr>
        <w:t xml:space="preserve"> level of abstraction</w:t>
      </w:r>
      <w:r w:rsidR="000E7744" w:rsidRPr="00AB3569">
        <w:rPr>
          <w:sz w:val="24"/>
          <w:szCs w:val="24"/>
          <w:lang w:val="en-US"/>
        </w:rPr>
        <w:t xml:space="preserve">, </w:t>
      </w:r>
      <w:r w:rsidR="00AC1D2D" w:rsidRPr="00AB3569">
        <w:rPr>
          <w:sz w:val="24"/>
          <w:szCs w:val="24"/>
          <w:lang w:val="en-US"/>
        </w:rPr>
        <w:t>wh</w:t>
      </w:r>
      <w:r w:rsidR="000E7744" w:rsidRPr="00AB3569">
        <w:rPr>
          <w:sz w:val="24"/>
          <w:szCs w:val="24"/>
          <w:lang w:val="en-US"/>
        </w:rPr>
        <w:t>ich</w:t>
      </w:r>
      <w:r w:rsidR="00AC1D2D" w:rsidRPr="00AB3569">
        <w:rPr>
          <w:sz w:val="24"/>
          <w:szCs w:val="24"/>
          <w:lang w:val="en-US"/>
        </w:rPr>
        <w:t xml:space="preserve"> enables </w:t>
      </w:r>
      <w:r w:rsidR="000E7744" w:rsidRPr="00AB3569">
        <w:rPr>
          <w:sz w:val="24"/>
          <w:szCs w:val="24"/>
          <w:lang w:val="en-US"/>
        </w:rPr>
        <w:t>it</w:t>
      </w:r>
      <w:r w:rsidR="00AC1D2D" w:rsidRPr="00AB3569">
        <w:rPr>
          <w:sz w:val="24"/>
          <w:szCs w:val="24"/>
          <w:lang w:val="en-US"/>
        </w:rPr>
        <w:t xml:space="preserve"> to move freely between </w:t>
      </w:r>
      <w:r w:rsidR="000E7744" w:rsidRPr="00AB3569">
        <w:rPr>
          <w:sz w:val="24"/>
          <w:szCs w:val="24"/>
          <w:lang w:val="en-US"/>
        </w:rPr>
        <w:t>sectors of Union law</w:t>
      </w:r>
      <w:r w:rsidR="00AC1D2D" w:rsidRPr="00AB3569">
        <w:rPr>
          <w:sz w:val="24"/>
          <w:szCs w:val="24"/>
          <w:lang w:val="en-US"/>
        </w:rPr>
        <w:t>.</w:t>
      </w:r>
      <w:r w:rsidR="000E7744" w:rsidRPr="00AB3569">
        <w:rPr>
          <w:rStyle w:val="FootnoteReference"/>
          <w:sz w:val="24"/>
          <w:szCs w:val="24"/>
          <w:lang w:val="en-US"/>
        </w:rPr>
        <w:footnoteReference w:id="99"/>
      </w:r>
      <w:r w:rsidR="000E7744" w:rsidRPr="00AB3569">
        <w:rPr>
          <w:sz w:val="24"/>
          <w:szCs w:val="24"/>
          <w:lang w:val="en-US"/>
        </w:rPr>
        <w:t xml:space="preserve"> EU </w:t>
      </w:r>
      <w:r w:rsidR="002B2D98" w:rsidRPr="00AB3569">
        <w:rPr>
          <w:sz w:val="24"/>
          <w:szCs w:val="24"/>
          <w:lang w:val="en-US"/>
        </w:rPr>
        <w:t xml:space="preserve">policies are framed in the language of rights across a variety of sectors, such as </w:t>
      </w:r>
      <w:r w:rsidR="000E7744" w:rsidRPr="00AB3569">
        <w:rPr>
          <w:sz w:val="24"/>
          <w:szCs w:val="24"/>
          <w:lang w:val="en-US"/>
        </w:rPr>
        <w:t>environmental protection</w:t>
      </w:r>
      <w:r w:rsidR="002B2D98" w:rsidRPr="00AB3569">
        <w:rPr>
          <w:sz w:val="24"/>
          <w:szCs w:val="24"/>
          <w:lang w:val="en-US"/>
        </w:rPr>
        <w:t xml:space="preserve">, </w:t>
      </w:r>
      <w:r w:rsidR="000E7744" w:rsidRPr="00AB3569">
        <w:rPr>
          <w:sz w:val="24"/>
          <w:szCs w:val="24"/>
          <w:lang w:val="en-US"/>
        </w:rPr>
        <w:t>competition policy</w:t>
      </w:r>
      <w:r w:rsidR="002B2D98" w:rsidRPr="00AB3569">
        <w:rPr>
          <w:sz w:val="24"/>
          <w:szCs w:val="24"/>
          <w:lang w:val="en-US"/>
        </w:rPr>
        <w:t xml:space="preserve"> and consumer protection</w:t>
      </w:r>
      <w:r w:rsidR="009E1627" w:rsidRPr="00AB3569">
        <w:rPr>
          <w:sz w:val="24"/>
          <w:szCs w:val="24"/>
          <w:lang w:val="en-US"/>
        </w:rPr>
        <w:t>, and p</w:t>
      </w:r>
      <w:r w:rsidR="005F3BC7" w:rsidRPr="00AB3569">
        <w:rPr>
          <w:sz w:val="24"/>
          <w:szCs w:val="24"/>
          <w:lang w:val="en-US"/>
        </w:rPr>
        <w:t xml:space="preserve">ursuant to Article 47 of the Charter, </w:t>
      </w:r>
      <w:r w:rsidR="002B2D98" w:rsidRPr="00AB3569">
        <w:rPr>
          <w:sz w:val="24"/>
          <w:szCs w:val="24"/>
          <w:lang w:val="en-US"/>
        </w:rPr>
        <w:t xml:space="preserve">Member States are obliged to ensure the protection of </w:t>
      </w:r>
      <w:r w:rsidR="002B2D98" w:rsidRPr="00AB3569">
        <w:rPr>
          <w:i/>
          <w:sz w:val="24"/>
          <w:szCs w:val="24"/>
          <w:lang w:val="en-US"/>
        </w:rPr>
        <w:t>all</w:t>
      </w:r>
      <w:r w:rsidR="002B2D98" w:rsidRPr="00AB3569">
        <w:rPr>
          <w:sz w:val="24"/>
          <w:szCs w:val="24"/>
          <w:lang w:val="en-US"/>
        </w:rPr>
        <w:t xml:space="preserve"> individual rights stemming from the Union legal order. </w:t>
      </w:r>
      <w:r w:rsidR="00BE5FC8" w:rsidRPr="00AB3569">
        <w:rPr>
          <w:sz w:val="24"/>
          <w:szCs w:val="24"/>
          <w:lang w:val="en-US"/>
        </w:rPr>
        <w:t xml:space="preserve">  </w:t>
      </w:r>
    </w:p>
    <w:p w14:paraId="68B60E72" w14:textId="0BE286B1" w:rsidR="00D10A72" w:rsidRPr="008B2AF1" w:rsidRDefault="000E7744" w:rsidP="006D208C">
      <w:pPr>
        <w:rPr>
          <w:sz w:val="24"/>
          <w:szCs w:val="24"/>
          <w:lang w:val="en-US"/>
        </w:rPr>
      </w:pPr>
      <w:r w:rsidRPr="00AB3569">
        <w:rPr>
          <w:sz w:val="24"/>
          <w:szCs w:val="24"/>
          <w:lang w:val="en-US"/>
        </w:rPr>
        <w:t>Clearly, e</w:t>
      </w:r>
      <w:r w:rsidR="0015481D" w:rsidRPr="00AB3569">
        <w:rPr>
          <w:sz w:val="24"/>
          <w:szCs w:val="24"/>
          <w:lang w:val="en-US"/>
        </w:rPr>
        <w:t>nsuring the effective enforcement of the rights that private parties derive from Union law must be seen as an objective in and of itself.</w:t>
      </w:r>
      <w:r w:rsidR="0015481D" w:rsidRPr="00AB3569">
        <w:rPr>
          <w:rStyle w:val="FootnoteReference"/>
          <w:sz w:val="24"/>
          <w:szCs w:val="24"/>
          <w:lang w:val="en-US"/>
        </w:rPr>
        <w:footnoteReference w:id="100"/>
      </w:r>
      <w:r w:rsidR="0015481D" w:rsidRPr="00AB3569">
        <w:rPr>
          <w:sz w:val="24"/>
          <w:szCs w:val="24"/>
          <w:lang w:val="en-US"/>
        </w:rPr>
        <w:t xml:space="preserve"> </w:t>
      </w:r>
      <w:r w:rsidR="001F796F" w:rsidRPr="00AB3569">
        <w:rPr>
          <w:sz w:val="24"/>
          <w:szCs w:val="24"/>
          <w:lang w:val="en-US"/>
        </w:rPr>
        <w:t>Yet m</w:t>
      </w:r>
      <w:r w:rsidR="00AB729B" w:rsidRPr="00AB3569">
        <w:rPr>
          <w:sz w:val="24"/>
          <w:szCs w:val="24"/>
          <w:lang w:val="en-US"/>
        </w:rPr>
        <w:t xml:space="preserve">obilizing individuals to enforce their rights has </w:t>
      </w:r>
      <w:r w:rsidR="0018278A" w:rsidRPr="00AB3569">
        <w:rPr>
          <w:sz w:val="24"/>
          <w:szCs w:val="24"/>
          <w:lang w:val="en-US"/>
        </w:rPr>
        <w:t xml:space="preserve">also </w:t>
      </w:r>
      <w:r w:rsidR="002E6048" w:rsidRPr="00AB3569">
        <w:rPr>
          <w:sz w:val="24"/>
          <w:szCs w:val="24"/>
          <w:lang w:val="en-US"/>
        </w:rPr>
        <w:t xml:space="preserve">the </w:t>
      </w:r>
      <w:r w:rsidR="0018278A" w:rsidRPr="00AB3569">
        <w:rPr>
          <w:sz w:val="24"/>
          <w:szCs w:val="24"/>
          <w:lang w:val="en-US"/>
        </w:rPr>
        <w:t>(</w:t>
      </w:r>
      <w:r w:rsidR="002E6048" w:rsidRPr="00AB3569">
        <w:rPr>
          <w:sz w:val="24"/>
          <w:szCs w:val="24"/>
          <w:lang w:val="en-US"/>
        </w:rPr>
        <w:t>intended</w:t>
      </w:r>
      <w:r w:rsidR="0018278A" w:rsidRPr="00AB3569">
        <w:rPr>
          <w:sz w:val="24"/>
          <w:szCs w:val="24"/>
          <w:lang w:val="en-US"/>
        </w:rPr>
        <w:t>)</w:t>
      </w:r>
      <w:r w:rsidR="002E6048" w:rsidRPr="00AB3569">
        <w:rPr>
          <w:sz w:val="24"/>
          <w:szCs w:val="24"/>
          <w:lang w:val="en-US"/>
        </w:rPr>
        <w:t xml:space="preserve"> side-benefit of ensuring </w:t>
      </w:r>
      <w:r w:rsidR="00AB729B" w:rsidRPr="00AB3569">
        <w:rPr>
          <w:sz w:val="24"/>
          <w:szCs w:val="24"/>
          <w:lang w:val="en-US"/>
        </w:rPr>
        <w:t xml:space="preserve">that Member States and private parties </w:t>
      </w:r>
      <w:r w:rsidR="002E6048" w:rsidRPr="00AB3569">
        <w:rPr>
          <w:sz w:val="24"/>
          <w:szCs w:val="24"/>
          <w:lang w:val="en-US"/>
        </w:rPr>
        <w:t>c</w:t>
      </w:r>
      <w:r w:rsidR="00AB729B" w:rsidRPr="00AB3569">
        <w:rPr>
          <w:sz w:val="24"/>
          <w:szCs w:val="24"/>
          <w:lang w:val="en-US"/>
        </w:rPr>
        <w:t>omply</w:t>
      </w:r>
      <w:r w:rsidR="002E6048" w:rsidRPr="00AB3569">
        <w:rPr>
          <w:sz w:val="24"/>
          <w:szCs w:val="24"/>
          <w:lang w:val="en-US"/>
        </w:rPr>
        <w:t xml:space="preserve"> with </w:t>
      </w:r>
      <w:r w:rsidR="001F796F" w:rsidRPr="00AB3569">
        <w:rPr>
          <w:sz w:val="24"/>
          <w:szCs w:val="24"/>
          <w:lang w:val="en-US"/>
        </w:rPr>
        <w:t xml:space="preserve">their </w:t>
      </w:r>
      <w:r w:rsidR="002E6048" w:rsidRPr="00AB3569">
        <w:rPr>
          <w:sz w:val="24"/>
          <w:szCs w:val="24"/>
          <w:lang w:val="en-US"/>
        </w:rPr>
        <w:t>Union law obligations. P</w:t>
      </w:r>
      <w:r w:rsidR="00AB729B" w:rsidRPr="00AB3569">
        <w:rPr>
          <w:sz w:val="24"/>
          <w:szCs w:val="24"/>
          <w:lang w:val="en-US"/>
        </w:rPr>
        <w:t>r</w:t>
      </w:r>
      <w:r w:rsidR="00D10A72" w:rsidRPr="00AB3569">
        <w:rPr>
          <w:sz w:val="24"/>
          <w:szCs w:val="24"/>
          <w:lang w:val="en-US"/>
        </w:rPr>
        <w:t>ivate lawsuits serve a role beyond</w:t>
      </w:r>
      <w:r w:rsidR="00D10A72" w:rsidRPr="00AB3569">
        <w:rPr>
          <w:i/>
          <w:sz w:val="24"/>
          <w:szCs w:val="24"/>
          <w:lang w:val="en-US"/>
        </w:rPr>
        <w:t xml:space="preserve"> </w:t>
      </w:r>
      <w:r w:rsidR="00D10A72" w:rsidRPr="00AB3569">
        <w:rPr>
          <w:sz w:val="24"/>
          <w:szCs w:val="24"/>
          <w:lang w:val="en-US"/>
        </w:rPr>
        <w:t>protecting the individu</w:t>
      </w:r>
      <w:r w:rsidR="002E6048" w:rsidRPr="00AB3569">
        <w:rPr>
          <w:sz w:val="24"/>
          <w:szCs w:val="24"/>
          <w:lang w:val="en-US"/>
        </w:rPr>
        <w:t>al, since b</w:t>
      </w:r>
      <w:r w:rsidR="00D10A72" w:rsidRPr="00AB3569">
        <w:rPr>
          <w:sz w:val="24"/>
          <w:szCs w:val="24"/>
          <w:lang w:val="en-US"/>
        </w:rPr>
        <w:t>y initiating legal proceedings, private parties become “part of the implementation process</w:t>
      </w:r>
      <w:r w:rsidR="00320333" w:rsidRPr="00AB3569">
        <w:rPr>
          <w:sz w:val="24"/>
          <w:szCs w:val="24"/>
          <w:lang w:val="en-US"/>
        </w:rPr>
        <w:t>.</w:t>
      </w:r>
      <w:r w:rsidR="00D10A72" w:rsidRPr="00AB3569">
        <w:rPr>
          <w:sz w:val="24"/>
          <w:szCs w:val="24"/>
          <w:lang w:val="en-US"/>
        </w:rPr>
        <w:t>”</w:t>
      </w:r>
      <w:r w:rsidR="00D10A72" w:rsidRPr="00AB3569">
        <w:rPr>
          <w:rStyle w:val="FootnoteReference"/>
          <w:rFonts w:cs="Arial"/>
          <w:sz w:val="24"/>
          <w:szCs w:val="24"/>
          <w:lang w:val="en-US"/>
        </w:rPr>
        <w:footnoteReference w:id="101"/>
      </w:r>
      <w:r w:rsidR="00D10A72" w:rsidRPr="00AB3569">
        <w:rPr>
          <w:sz w:val="24"/>
          <w:szCs w:val="24"/>
          <w:lang w:val="en-US"/>
        </w:rPr>
        <w:t xml:space="preserve"> </w:t>
      </w:r>
      <w:r w:rsidR="006D208C" w:rsidRPr="00AB3569">
        <w:rPr>
          <w:sz w:val="24"/>
          <w:szCs w:val="24"/>
          <w:lang w:val="en-US"/>
        </w:rPr>
        <w:t xml:space="preserve">They </w:t>
      </w:r>
      <w:r w:rsidR="00AB729B" w:rsidRPr="00AB3569">
        <w:rPr>
          <w:sz w:val="24"/>
          <w:szCs w:val="24"/>
          <w:lang w:val="en-US"/>
        </w:rPr>
        <w:t xml:space="preserve">uphold the policies embodied in the Union law provision in question and </w:t>
      </w:r>
      <w:r w:rsidR="006D208C" w:rsidRPr="00AB3569">
        <w:rPr>
          <w:sz w:val="24"/>
          <w:szCs w:val="24"/>
          <w:lang w:val="en-US"/>
        </w:rPr>
        <w:t>“serve as the eyes, ears, and long arm of Brussels</w:t>
      </w:r>
      <w:r w:rsidR="00320333" w:rsidRPr="00AB3569">
        <w:rPr>
          <w:sz w:val="24"/>
          <w:szCs w:val="24"/>
          <w:lang w:val="en-US"/>
        </w:rPr>
        <w:t>.</w:t>
      </w:r>
      <w:r w:rsidR="006D208C" w:rsidRPr="00AB3569">
        <w:rPr>
          <w:sz w:val="24"/>
          <w:szCs w:val="24"/>
          <w:lang w:val="en-US"/>
        </w:rPr>
        <w:t>”</w:t>
      </w:r>
      <w:r w:rsidR="006D208C" w:rsidRPr="00AB3569">
        <w:rPr>
          <w:rStyle w:val="FootnoteReference"/>
          <w:sz w:val="24"/>
          <w:szCs w:val="24"/>
          <w:lang w:val="en-US"/>
        </w:rPr>
        <w:footnoteReference w:id="102"/>
      </w:r>
      <w:r w:rsidR="006D208C" w:rsidRPr="00C13700">
        <w:rPr>
          <w:sz w:val="24"/>
          <w:szCs w:val="24"/>
          <w:lang w:val="en-US"/>
        </w:rPr>
        <w:t xml:space="preserve"> </w:t>
      </w:r>
    </w:p>
    <w:p w14:paraId="2B551896" w14:textId="77777777" w:rsidR="00D10A72" w:rsidRDefault="00D10A72" w:rsidP="00D10A72">
      <w:pPr>
        <w:rPr>
          <w:lang w:val="en-US"/>
        </w:rPr>
      </w:pPr>
    </w:p>
    <w:p w14:paraId="7A9CFEEA" w14:textId="77777777" w:rsidR="00D10E55" w:rsidRPr="00684D3C" w:rsidRDefault="00D10E55" w:rsidP="00D10E55">
      <w:pPr>
        <w:rPr>
          <w:b/>
          <w:sz w:val="24"/>
          <w:szCs w:val="24"/>
          <w:u w:val="single"/>
          <w:lang w:val="en-US"/>
        </w:rPr>
      </w:pPr>
    </w:p>
    <w:sectPr w:rsidR="00D10E55" w:rsidRPr="00684D3C" w:rsidSect="001F34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766EB" w14:textId="77777777" w:rsidR="00570643" w:rsidRDefault="00570643" w:rsidP="00EF333A">
      <w:pPr>
        <w:spacing w:after="0" w:line="240" w:lineRule="auto"/>
      </w:pPr>
      <w:r>
        <w:separator/>
      </w:r>
    </w:p>
  </w:endnote>
  <w:endnote w:type="continuationSeparator" w:id="0">
    <w:p w14:paraId="49FF8238" w14:textId="77777777" w:rsidR="00570643" w:rsidRDefault="00570643" w:rsidP="00EF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78382"/>
      <w:docPartObj>
        <w:docPartGallery w:val="Page Numbers (Bottom of Page)"/>
        <w:docPartUnique/>
      </w:docPartObj>
    </w:sdtPr>
    <w:sdtEndPr/>
    <w:sdtContent>
      <w:p w14:paraId="38A3F0CA" w14:textId="45C022A5" w:rsidR="0072285E" w:rsidRDefault="0072285E">
        <w:pPr>
          <w:pStyle w:val="Footer"/>
          <w:jc w:val="right"/>
        </w:pPr>
        <w:r>
          <w:fldChar w:fldCharType="begin"/>
        </w:r>
        <w:r>
          <w:instrText>PAGE   \* MERGEFORMAT</w:instrText>
        </w:r>
        <w:r>
          <w:fldChar w:fldCharType="separate"/>
        </w:r>
        <w:r w:rsidR="00AB3569">
          <w:rPr>
            <w:noProof/>
          </w:rPr>
          <w:t>7</w:t>
        </w:r>
        <w:r>
          <w:fldChar w:fldCharType="end"/>
        </w:r>
      </w:p>
    </w:sdtContent>
  </w:sdt>
  <w:p w14:paraId="4EBFB146" w14:textId="77777777" w:rsidR="0072285E" w:rsidRDefault="00722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5B90B" w14:textId="77777777" w:rsidR="00570643" w:rsidRDefault="00570643" w:rsidP="00EF333A">
      <w:pPr>
        <w:spacing w:after="0" w:line="240" w:lineRule="auto"/>
      </w:pPr>
      <w:r>
        <w:separator/>
      </w:r>
    </w:p>
  </w:footnote>
  <w:footnote w:type="continuationSeparator" w:id="0">
    <w:p w14:paraId="7E9C7B41" w14:textId="77777777" w:rsidR="00570643" w:rsidRDefault="00570643" w:rsidP="00EF333A">
      <w:pPr>
        <w:spacing w:after="0" w:line="240" w:lineRule="auto"/>
      </w:pPr>
      <w:r>
        <w:continuationSeparator/>
      </w:r>
    </w:p>
  </w:footnote>
  <w:footnote w:id="1">
    <w:p w14:paraId="4A06216C" w14:textId="77777777" w:rsidR="003230B7" w:rsidRPr="00AB3569" w:rsidRDefault="003230B7" w:rsidP="009501E0">
      <w:pPr>
        <w:pStyle w:val="FootnoteText"/>
        <w:rPr>
          <w:lang w:val="en-US"/>
        </w:rPr>
      </w:pPr>
      <w:r w:rsidRPr="00AB3569">
        <w:rPr>
          <w:rStyle w:val="FootnoteReference"/>
        </w:rPr>
        <w:footnoteRef/>
      </w:r>
      <w:r w:rsidRPr="00AB3569">
        <w:rPr>
          <w:lang w:val="en-US"/>
        </w:rPr>
        <w:t xml:space="preserve"> See first recital of the preamble to the GDPR. </w:t>
      </w:r>
    </w:p>
  </w:footnote>
  <w:footnote w:id="2">
    <w:p w14:paraId="683D18BA" w14:textId="72AD51A2" w:rsidR="003230B7" w:rsidRPr="00AB3569" w:rsidRDefault="003230B7" w:rsidP="00EF333A">
      <w:pPr>
        <w:pStyle w:val="FootnoteText"/>
        <w:rPr>
          <w:lang w:val="en-US"/>
        </w:rPr>
      </w:pPr>
      <w:r w:rsidRPr="00AB3569">
        <w:rPr>
          <w:rStyle w:val="FootnoteReference"/>
        </w:rPr>
        <w:footnoteRef/>
      </w:r>
      <w:r w:rsidRPr="00AB3569">
        <w:rPr>
          <w:lang w:val="en-US"/>
        </w:rPr>
        <w:t xml:space="preserve"> Joined Cases C</w:t>
      </w:r>
      <w:r w:rsidRPr="00AB3569">
        <w:rPr>
          <w:rFonts w:ascii="MS Gothic" w:eastAsia="MS Gothic" w:hAnsi="MS Gothic" w:cs="MS Gothic" w:hint="eastAsia"/>
          <w:lang w:val="en-US"/>
        </w:rPr>
        <w:t>‑</w:t>
      </w:r>
      <w:r w:rsidRPr="00AB3569">
        <w:rPr>
          <w:lang w:val="en-US"/>
        </w:rPr>
        <w:t>293/12 and C</w:t>
      </w:r>
      <w:r w:rsidRPr="00AB3569">
        <w:rPr>
          <w:rFonts w:ascii="MS Gothic" w:eastAsia="MS Gothic" w:hAnsi="MS Gothic" w:cs="MS Gothic" w:hint="eastAsia"/>
          <w:lang w:val="en-US"/>
        </w:rPr>
        <w:t>‑</w:t>
      </w:r>
      <w:r w:rsidRPr="00AB3569">
        <w:rPr>
          <w:lang w:val="en-US"/>
        </w:rPr>
        <w:t xml:space="preserve">594/12, </w:t>
      </w:r>
      <w:r w:rsidRPr="00AB3569">
        <w:rPr>
          <w:i/>
          <w:lang w:val="en-US"/>
        </w:rPr>
        <w:t>Digital Rights Ireland</w:t>
      </w:r>
      <w:r w:rsidRPr="00AB3569">
        <w:rPr>
          <w:lang w:val="en-US"/>
        </w:rPr>
        <w:t xml:space="preserve">, EU:C:2014:238, where the Court declared invalid the Data Retention Directive (Directive 2006/24/EC). </w:t>
      </w:r>
    </w:p>
  </w:footnote>
  <w:footnote w:id="3">
    <w:p w14:paraId="0AEA9860" w14:textId="59248C76" w:rsidR="003230B7" w:rsidRPr="00AB3569" w:rsidRDefault="003230B7" w:rsidP="00EF333A">
      <w:pPr>
        <w:pStyle w:val="FootnoteText"/>
        <w:rPr>
          <w:lang w:val="en-US"/>
        </w:rPr>
      </w:pPr>
      <w:r w:rsidRPr="00AB3569">
        <w:rPr>
          <w:rStyle w:val="FootnoteReference"/>
        </w:rPr>
        <w:footnoteRef/>
      </w:r>
      <w:r w:rsidRPr="00AB3569">
        <w:rPr>
          <w:lang w:val="en-US"/>
        </w:rPr>
        <w:t xml:space="preserve"> Case C</w:t>
      </w:r>
      <w:r w:rsidRPr="00AB3569">
        <w:rPr>
          <w:rFonts w:ascii="MS Gothic" w:eastAsia="MS Gothic" w:hAnsi="MS Gothic" w:cs="MS Gothic" w:hint="eastAsia"/>
          <w:lang w:val="en-US"/>
        </w:rPr>
        <w:t>‑</w:t>
      </w:r>
      <w:r w:rsidRPr="00AB3569">
        <w:rPr>
          <w:lang w:val="en-US"/>
        </w:rPr>
        <w:t xml:space="preserve">131/12, </w:t>
      </w:r>
      <w:r w:rsidRPr="00AB3569">
        <w:rPr>
          <w:i/>
          <w:lang w:val="en-US"/>
        </w:rPr>
        <w:t xml:space="preserve">Google Spain, </w:t>
      </w:r>
      <w:r w:rsidRPr="00AB3569">
        <w:rPr>
          <w:lang w:val="en-US"/>
        </w:rPr>
        <w:t xml:space="preserve">EU:C:2014:317, where the Court recognized the ‘right to be forgotten’. </w:t>
      </w:r>
    </w:p>
  </w:footnote>
  <w:footnote w:id="4">
    <w:p w14:paraId="64E45791" w14:textId="72116CBC" w:rsidR="003230B7" w:rsidRPr="00AB3569" w:rsidRDefault="003230B7" w:rsidP="00EF333A">
      <w:pPr>
        <w:pStyle w:val="FootnoteText"/>
        <w:rPr>
          <w:lang w:val="en-US"/>
        </w:rPr>
      </w:pPr>
      <w:r w:rsidRPr="00AB3569">
        <w:rPr>
          <w:rStyle w:val="FootnoteReference"/>
        </w:rPr>
        <w:footnoteRef/>
      </w:r>
      <w:r w:rsidRPr="00AB3569">
        <w:rPr>
          <w:lang w:val="en-US"/>
        </w:rPr>
        <w:t xml:space="preserve"> Case C-362/14, </w:t>
      </w:r>
      <w:r w:rsidRPr="00AB3569">
        <w:rPr>
          <w:i/>
          <w:lang w:val="en-US"/>
        </w:rPr>
        <w:t xml:space="preserve">Schrems, </w:t>
      </w:r>
      <w:r w:rsidRPr="00AB3569">
        <w:rPr>
          <w:lang w:val="en-US"/>
        </w:rPr>
        <w:t xml:space="preserve">EU:C:2015:650, where the Court declared the Commission’s approval of the Safe Harbor framework (Decision 2000/52/EC) invalid. </w:t>
      </w:r>
    </w:p>
  </w:footnote>
  <w:footnote w:id="5">
    <w:p w14:paraId="27003476" w14:textId="39A502A4" w:rsidR="003230B7" w:rsidRPr="00AB3569" w:rsidRDefault="003230B7" w:rsidP="005F342B">
      <w:pPr>
        <w:pStyle w:val="FootnoteText"/>
        <w:rPr>
          <w:lang w:val="en-US"/>
        </w:rPr>
      </w:pPr>
      <w:r w:rsidRPr="00AB3569">
        <w:rPr>
          <w:rStyle w:val="FootnoteReference"/>
        </w:rPr>
        <w:footnoteRef/>
      </w:r>
      <w:r w:rsidRPr="00AB3569">
        <w:rPr>
          <w:lang w:val="en-US"/>
        </w:rPr>
        <w:t xml:space="preserve"> Joined Cases C-203/15 and C-698/15, </w:t>
      </w:r>
      <w:r w:rsidRPr="00AB3569">
        <w:rPr>
          <w:i/>
          <w:lang w:val="en-US"/>
        </w:rPr>
        <w:t>Tele 2</w:t>
      </w:r>
      <w:r w:rsidRPr="00AB3569">
        <w:rPr>
          <w:lang w:val="en-US"/>
        </w:rPr>
        <w:t xml:space="preserve">, EU:C:2016:970, where the Court found that Article 7 and 8 of the Charter precluded the general and indiscriminate retention of all traffic and location data. </w:t>
      </w:r>
    </w:p>
  </w:footnote>
  <w:footnote w:id="6">
    <w:p w14:paraId="4DE96417" w14:textId="14CEFF39" w:rsidR="003230B7" w:rsidRPr="00AB3569" w:rsidRDefault="003230B7">
      <w:pPr>
        <w:pStyle w:val="FootnoteText"/>
        <w:rPr>
          <w:lang w:val="en-US"/>
        </w:rPr>
      </w:pPr>
      <w:r w:rsidRPr="00AB3569">
        <w:rPr>
          <w:rStyle w:val="FootnoteReference"/>
        </w:rPr>
        <w:footnoteRef/>
      </w:r>
      <w:r w:rsidRPr="00AB3569">
        <w:rPr>
          <w:lang w:val="en-US"/>
        </w:rPr>
        <w:t xml:space="preserve"> See respectively GDPR Article 15 (access), Article 16 (rectification), Article 17 (erasure) and Article 18 (restriction of processing). </w:t>
      </w:r>
    </w:p>
  </w:footnote>
  <w:footnote w:id="7">
    <w:p w14:paraId="0DB19C4D" w14:textId="335F6DF0" w:rsidR="003230B7" w:rsidRPr="00AB3569" w:rsidRDefault="003230B7">
      <w:pPr>
        <w:pStyle w:val="FootnoteText"/>
        <w:rPr>
          <w:lang w:val="en-US"/>
        </w:rPr>
      </w:pPr>
      <w:r w:rsidRPr="00AB3569">
        <w:rPr>
          <w:rStyle w:val="FootnoteReference"/>
        </w:rPr>
        <w:footnoteRef/>
      </w:r>
      <w:r w:rsidRPr="00AB3569">
        <w:rPr>
          <w:lang w:val="en-US"/>
        </w:rPr>
        <w:t xml:space="preserve"> For a detailed account, see, </w:t>
      </w:r>
      <w:r w:rsidRPr="00AB3569">
        <w:rPr>
          <w:i/>
          <w:lang w:val="en-US"/>
        </w:rPr>
        <w:t>inter alia</w:t>
      </w:r>
      <w:r w:rsidRPr="00AB3569">
        <w:rPr>
          <w:lang w:val="en-US"/>
        </w:rPr>
        <w:t xml:space="preserve">, Póltorak, </w:t>
      </w:r>
      <w:r w:rsidRPr="00AB3569">
        <w:rPr>
          <w:i/>
          <w:lang w:val="en-US"/>
        </w:rPr>
        <w:t>European Union Rights in National Courts</w:t>
      </w:r>
      <w:r w:rsidRPr="00AB3569">
        <w:rPr>
          <w:lang w:val="en-US"/>
        </w:rPr>
        <w:t xml:space="preserve"> (Wolters Kluwer, 2015) and Dougan, </w:t>
      </w:r>
      <w:r w:rsidRPr="00AB3569">
        <w:rPr>
          <w:i/>
          <w:noProof/>
          <w:lang w:val="en-US"/>
        </w:rPr>
        <w:t>National Remedies Before the Court of Justice: Issues of Harmonisation and Differentiation</w:t>
      </w:r>
      <w:r w:rsidRPr="00AB3569">
        <w:rPr>
          <w:noProof/>
          <w:lang w:val="en-US"/>
        </w:rPr>
        <w:t xml:space="preserve"> </w:t>
      </w:r>
      <w:r w:rsidRPr="00AB3569">
        <w:rPr>
          <w:lang w:val="en-US"/>
        </w:rPr>
        <w:t xml:space="preserve">(Hart, 2004). </w:t>
      </w:r>
    </w:p>
  </w:footnote>
  <w:footnote w:id="8">
    <w:p w14:paraId="71C5F68F" w14:textId="77777777" w:rsidR="003230B7" w:rsidRPr="00AB3569" w:rsidRDefault="003230B7">
      <w:pPr>
        <w:pStyle w:val="FootnoteText"/>
        <w:rPr>
          <w:lang w:val="en-US"/>
        </w:rPr>
      </w:pPr>
      <w:r w:rsidRPr="00AB3569">
        <w:rPr>
          <w:rStyle w:val="FootnoteReference"/>
        </w:rPr>
        <w:footnoteRef/>
      </w:r>
      <w:r w:rsidRPr="00AB3569">
        <w:rPr>
          <w:lang w:val="en-US"/>
        </w:rPr>
        <w:t xml:space="preserve"> The provision comprises both the right to an effective judicial remedy, a fair trial and legal aid (first, second and third paragraph, respectively), but it is primarily the first facet which is of interest for present purposes. </w:t>
      </w:r>
    </w:p>
  </w:footnote>
  <w:footnote w:id="9">
    <w:p w14:paraId="5231F3E9" w14:textId="373C148F" w:rsidR="00963FBE" w:rsidRPr="00AB3569" w:rsidRDefault="00963FBE">
      <w:pPr>
        <w:pStyle w:val="FootnoteText"/>
        <w:rPr>
          <w:lang w:val="en-US"/>
        </w:rPr>
      </w:pPr>
      <w:r w:rsidRPr="00AB3569">
        <w:rPr>
          <w:rStyle w:val="FootnoteReference"/>
        </w:rPr>
        <w:footnoteRef/>
      </w:r>
      <w:r w:rsidRPr="00AB3569">
        <w:rPr>
          <w:lang w:val="en-US"/>
        </w:rPr>
        <w:t xml:space="preserve"> Article 6 of Directive 95/46 on principles relating to the processing of personal data is now Art. 5 GDPR, and Art. 7 of the Directive on the lawfulness of processing is now Art. 6 GDPR. </w:t>
      </w:r>
    </w:p>
  </w:footnote>
  <w:footnote w:id="10">
    <w:p w14:paraId="65EB7E58" w14:textId="2975A94A" w:rsidR="00963FBE" w:rsidRPr="00AB3569" w:rsidRDefault="00963FBE">
      <w:pPr>
        <w:pStyle w:val="FootnoteText"/>
        <w:rPr>
          <w:lang w:val="en-US"/>
        </w:rPr>
      </w:pPr>
      <w:r w:rsidRPr="00AB3569">
        <w:rPr>
          <w:rStyle w:val="FootnoteReference"/>
        </w:rPr>
        <w:footnoteRef/>
      </w:r>
      <w:r w:rsidRPr="00AB3569">
        <w:rPr>
          <w:lang w:val="en-US"/>
        </w:rPr>
        <w:t xml:space="preserve"> Article 22 of Directive 95/46/EC on judicial remedies is replaced by Article 79 GDPR</w:t>
      </w:r>
    </w:p>
  </w:footnote>
  <w:footnote w:id="11">
    <w:p w14:paraId="1582221C" w14:textId="32ADF728" w:rsidR="003230B7" w:rsidRPr="00AB3569" w:rsidRDefault="003230B7">
      <w:pPr>
        <w:pStyle w:val="FootnoteText"/>
        <w:rPr>
          <w:lang w:val="en-US"/>
        </w:rPr>
      </w:pPr>
      <w:r w:rsidRPr="00AB3569">
        <w:rPr>
          <w:rStyle w:val="FootnoteReference"/>
        </w:rPr>
        <w:footnoteRef/>
      </w:r>
      <w:r w:rsidRPr="00AB3569">
        <w:rPr>
          <w:lang w:val="en-US"/>
        </w:rPr>
        <w:t xml:space="preserve"> Provisions in secondary legislation pertaining to effective judicial protection must be read in light of Article 47 of the Charter, see for instance, Case C-69/10, </w:t>
      </w:r>
      <w:r w:rsidRPr="00AB3569">
        <w:rPr>
          <w:i/>
          <w:lang w:val="en-US"/>
        </w:rPr>
        <w:t>Samba Diouf,</w:t>
      </w:r>
      <w:r w:rsidRPr="00AB3569">
        <w:rPr>
          <w:lang w:val="en-US"/>
        </w:rPr>
        <w:t xml:space="preserve"> EU:C:2011:524 and Joined Cases C-439/14 and C-488/14, </w:t>
      </w:r>
      <w:r w:rsidRPr="00AB3569">
        <w:rPr>
          <w:i/>
          <w:lang w:val="en-US"/>
        </w:rPr>
        <w:t>Star Storage</w:t>
      </w:r>
      <w:r w:rsidRPr="00AB3569">
        <w:rPr>
          <w:lang w:val="en-US"/>
        </w:rPr>
        <w:t>,</w:t>
      </w:r>
      <w:r w:rsidRPr="00AB3569">
        <w:rPr>
          <w:i/>
          <w:lang w:val="en-US"/>
        </w:rPr>
        <w:t xml:space="preserve"> </w:t>
      </w:r>
      <w:r w:rsidRPr="00AB3569">
        <w:rPr>
          <w:lang w:val="en-US"/>
        </w:rPr>
        <w:t xml:space="preserve">EU:C:2016:688. </w:t>
      </w:r>
    </w:p>
  </w:footnote>
  <w:footnote w:id="12">
    <w:p w14:paraId="3C635634" w14:textId="77777777" w:rsidR="003230B7" w:rsidRPr="00AB3569" w:rsidRDefault="003230B7">
      <w:pPr>
        <w:pStyle w:val="FootnoteText"/>
        <w:rPr>
          <w:lang w:val="es-ES"/>
        </w:rPr>
      </w:pPr>
      <w:r w:rsidRPr="00AB3569">
        <w:rPr>
          <w:rStyle w:val="FootnoteReference"/>
        </w:rPr>
        <w:footnoteRef/>
      </w:r>
      <w:r w:rsidRPr="00AB3569">
        <w:rPr>
          <w:lang w:val="es-ES"/>
        </w:rPr>
        <w:t xml:space="preserve"> Opinion para. 37-41. </w:t>
      </w:r>
    </w:p>
  </w:footnote>
  <w:footnote w:id="13">
    <w:p w14:paraId="49EECE0D" w14:textId="77777777" w:rsidR="003230B7" w:rsidRPr="00AB3569" w:rsidRDefault="003230B7">
      <w:pPr>
        <w:pStyle w:val="FootnoteText"/>
        <w:rPr>
          <w:lang w:val="es-ES"/>
        </w:rPr>
      </w:pPr>
      <w:r w:rsidRPr="00AB3569">
        <w:rPr>
          <w:rStyle w:val="FootnoteReference"/>
        </w:rPr>
        <w:footnoteRef/>
      </w:r>
      <w:r w:rsidRPr="00AB3569">
        <w:rPr>
          <w:lang w:val="es-ES"/>
        </w:rPr>
        <w:t xml:space="preserve"> Para. 44</w:t>
      </w:r>
    </w:p>
  </w:footnote>
  <w:footnote w:id="14">
    <w:p w14:paraId="6963954C" w14:textId="77777777" w:rsidR="003230B7" w:rsidRPr="00AB3569" w:rsidRDefault="003230B7">
      <w:pPr>
        <w:pStyle w:val="FootnoteText"/>
        <w:rPr>
          <w:lang w:val="es-ES"/>
        </w:rPr>
      </w:pPr>
      <w:r w:rsidRPr="00AB3569">
        <w:rPr>
          <w:rStyle w:val="FootnoteReference"/>
        </w:rPr>
        <w:footnoteRef/>
      </w:r>
      <w:r w:rsidRPr="00AB3569">
        <w:rPr>
          <w:lang w:val="es-ES"/>
        </w:rPr>
        <w:t xml:space="preserve"> Para. 45.</w:t>
      </w:r>
    </w:p>
  </w:footnote>
  <w:footnote w:id="15">
    <w:p w14:paraId="2C6376E0" w14:textId="519D4DF8" w:rsidR="003230B7" w:rsidRPr="00AB3569" w:rsidRDefault="003230B7">
      <w:pPr>
        <w:pStyle w:val="FootnoteText"/>
        <w:rPr>
          <w:lang w:val="es-ES"/>
        </w:rPr>
      </w:pPr>
      <w:r w:rsidRPr="00AB3569">
        <w:rPr>
          <w:rStyle w:val="FootnoteReference"/>
        </w:rPr>
        <w:footnoteRef/>
      </w:r>
      <w:r w:rsidRPr="00AB3569">
        <w:rPr>
          <w:lang w:val="es-ES"/>
        </w:rPr>
        <w:t xml:space="preserve"> See </w:t>
      </w:r>
      <w:r w:rsidRPr="00AB3569">
        <w:rPr>
          <w:i/>
          <w:lang w:val="es-ES"/>
        </w:rPr>
        <w:t>inter alia</w:t>
      </w:r>
      <w:r w:rsidRPr="00AB3569">
        <w:rPr>
          <w:lang w:val="es-ES"/>
        </w:rPr>
        <w:t xml:space="preserve">, Case 33/76, </w:t>
      </w:r>
      <w:r w:rsidRPr="00AB3569">
        <w:rPr>
          <w:i/>
          <w:lang w:val="es-ES"/>
        </w:rPr>
        <w:t>Rewe,</w:t>
      </w:r>
      <w:r w:rsidRPr="00AB3569">
        <w:rPr>
          <w:lang w:val="es-ES"/>
        </w:rPr>
        <w:t xml:space="preserve"> EU:C:1976:188, para 5 and Case 199/82 </w:t>
      </w:r>
      <w:r w:rsidRPr="00AB3569">
        <w:rPr>
          <w:i/>
          <w:lang w:val="es-ES"/>
        </w:rPr>
        <w:t>San Giorgio</w:t>
      </w:r>
      <w:r w:rsidRPr="00AB3569">
        <w:rPr>
          <w:lang w:val="es-ES"/>
        </w:rPr>
        <w:t xml:space="preserve">, EU:C:1983:318, para. 12. </w:t>
      </w:r>
    </w:p>
  </w:footnote>
  <w:footnote w:id="16">
    <w:p w14:paraId="7ED44949" w14:textId="77777777" w:rsidR="003230B7" w:rsidRPr="00AB3569" w:rsidRDefault="003230B7">
      <w:pPr>
        <w:pStyle w:val="FootnoteText"/>
        <w:rPr>
          <w:lang w:val="es-ES"/>
        </w:rPr>
      </w:pPr>
      <w:r w:rsidRPr="00AB3569">
        <w:rPr>
          <w:rStyle w:val="FootnoteReference"/>
        </w:rPr>
        <w:footnoteRef/>
      </w:r>
      <w:r w:rsidRPr="00AB3569">
        <w:rPr>
          <w:lang w:val="es-ES"/>
        </w:rPr>
        <w:t xml:space="preserve"> Para. 49. </w:t>
      </w:r>
    </w:p>
  </w:footnote>
  <w:footnote w:id="17">
    <w:p w14:paraId="310C7486" w14:textId="77777777" w:rsidR="003230B7" w:rsidRPr="00AB3569" w:rsidRDefault="003230B7">
      <w:pPr>
        <w:pStyle w:val="FootnoteText"/>
        <w:rPr>
          <w:lang w:val="es-ES"/>
        </w:rPr>
      </w:pPr>
      <w:r w:rsidRPr="00AB3569">
        <w:rPr>
          <w:rStyle w:val="FootnoteReference"/>
        </w:rPr>
        <w:footnoteRef/>
      </w:r>
      <w:r w:rsidRPr="00AB3569">
        <w:rPr>
          <w:lang w:val="es-ES"/>
        </w:rPr>
        <w:t xml:space="preserve"> Para. 51. </w:t>
      </w:r>
    </w:p>
  </w:footnote>
  <w:footnote w:id="18">
    <w:p w14:paraId="45DF0E06" w14:textId="77777777" w:rsidR="003230B7" w:rsidRPr="00AB3569" w:rsidRDefault="003230B7">
      <w:pPr>
        <w:pStyle w:val="FootnoteText"/>
        <w:rPr>
          <w:lang w:val="es-ES"/>
        </w:rPr>
      </w:pPr>
      <w:r w:rsidRPr="00AB3569">
        <w:rPr>
          <w:rStyle w:val="FootnoteReference"/>
        </w:rPr>
        <w:footnoteRef/>
      </w:r>
      <w:r w:rsidRPr="00AB3569">
        <w:rPr>
          <w:lang w:val="es-ES"/>
        </w:rPr>
        <w:t xml:space="preserve"> Para. 53-54. </w:t>
      </w:r>
    </w:p>
  </w:footnote>
  <w:footnote w:id="19">
    <w:p w14:paraId="1929D1C0" w14:textId="77777777" w:rsidR="003230B7" w:rsidRPr="00AB3569" w:rsidRDefault="003230B7">
      <w:pPr>
        <w:pStyle w:val="FootnoteText"/>
        <w:rPr>
          <w:lang w:val="es-ES"/>
        </w:rPr>
      </w:pPr>
      <w:r w:rsidRPr="00AB3569">
        <w:rPr>
          <w:rStyle w:val="FootnoteReference"/>
        </w:rPr>
        <w:footnoteRef/>
      </w:r>
      <w:r w:rsidRPr="00AB3569">
        <w:rPr>
          <w:lang w:val="es-ES"/>
        </w:rPr>
        <w:t xml:space="preserve"> Para. 56</w:t>
      </w:r>
    </w:p>
  </w:footnote>
  <w:footnote w:id="20">
    <w:p w14:paraId="746076DB" w14:textId="77777777" w:rsidR="003230B7" w:rsidRPr="00AB3569" w:rsidRDefault="003230B7">
      <w:pPr>
        <w:pStyle w:val="FootnoteText"/>
        <w:rPr>
          <w:lang w:val="es-ES"/>
        </w:rPr>
      </w:pPr>
      <w:r w:rsidRPr="00AB3569">
        <w:rPr>
          <w:rStyle w:val="FootnoteReference"/>
        </w:rPr>
        <w:footnoteRef/>
      </w:r>
      <w:r w:rsidRPr="00AB3569">
        <w:rPr>
          <w:lang w:val="es-ES"/>
        </w:rPr>
        <w:t xml:space="preserve"> Para. 59-62. </w:t>
      </w:r>
    </w:p>
  </w:footnote>
  <w:footnote w:id="21">
    <w:p w14:paraId="33BCB408" w14:textId="77777777" w:rsidR="003230B7" w:rsidRPr="00AB3569" w:rsidRDefault="003230B7">
      <w:pPr>
        <w:pStyle w:val="FootnoteText"/>
        <w:rPr>
          <w:lang w:val="en-US"/>
        </w:rPr>
      </w:pPr>
      <w:r w:rsidRPr="00AB3569">
        <w:rPr>
          <w:rStyle w:val="FootnoteReference"/>
        </w:rPr>
        <w:footnoteRef/>
      </w:r>
      <w:r w:rsidRPr="00AB3569">
        <w:rPr>
          <w:lang w:val="en-US"/>
        </w:rPr>
        <w:t xml:space="preserve"> Para. 63-69. </w:t>
      </w:r>
    </w:p>
  </w:footnote>
  <w:footnote w:id="22">
    <w:p w14:paraId="69537623" w14:textId="77777777" w:rsidR="003230B7" w:rsidRPr="00AB3569" w:rsidRDefault="003230B7">
      <w:pPr>
        <w:pStyle w:val="FootnoteText"/>
        <w:rPr>
          <w:lang w:val="en-US"/>
        </w:rPr>
      </w:pPr>
      <w:r w:rsidRPr="00AB3569">
        <w:rPr>
          <w:rStyle w:val="FootnoteReference"/>
        </w:rPr>
        <w:footnoteRef/>
      </w:r>
      <w:r w:rsidRPr="00AB3569">
        <w:rPr>
          <w:lang w:val="en-US"/>
        </w:rPr>
        <w:t xml:space="preserve"> Para. 72. </w:t>
      </w:r>
    </w:p>
  </w:footnote>
  <w:footnote w:id="23">
    <w:p w14:paraId="41E817BF" w14:textId="77777777" w:rsidR="003230B7" w:rsidRPr="00AB3569" w:rsidRDefault="003230B7" w:rsidP="007254B3">
      <w:pPr>
        <w:pStyle w:val="FootnoteText"/>
        <w:rPr>
          <w:lang w:val="en-US"/>
        </w:rPr>
      </w:pPr>
      <w:r w:rsidRPr="00AB3569">
        <w:rPr>
          <w:rStyle w:val="FootnoteReference"/>
        </w:rPr>
        <w:footnoteRef/>
      </w:r>
      <w:r w:rsidRPr="00AB3569">
        <w:rPr>
          <w:lang w:val="en-US"/>
        </w:rPr>
        <w:t xml:space="preserve"> The approach of the Slovak Supreme Court is further explained in para. 82 of the Opinion. </w:t>
      </w:r>
    </w:p>
  </w:footnote>
  <w:footnote w:id="24">
    <w:p w14:paraId="7FE3DDF6" w14:textId="77777777" w:rsidR="003230B7" w:rsidRPr="00AB3569" w:rsidRDefault="003230B7">
      <w:pPr>
        <w:pStyle w:val="FootnoteText"/>
        <w:rPr>
          <w:lang w:val="en-US"/>
        </w:rPr>
      </w:pPr>
      <w:r w:rsidRPr="00AB3569">
        <w:rPr>
          <w:rStyle w:val="FootnoteReference"/>
        </w:rPr>
        <w:footnoteRef/>
      </w:r>
      <w:r w:rsidRPr="00AB3569">
        <w:rPr>
          <w:lang w:val="en-US"/>
        </w:rPr>
        <w:t xml:space="preserve"> Para. 80. </w:t>
      </w:r>
    </w:p>
  </w:footnote>
  <w:footnote w:id="25">
    <w:p w14:paraId="63C735EE" w14:textId="77777777" w:rsidR="003230B7" w:rsidRPr="00AB3569" w:rsidRDefault="003230B7">
      <w:pPr>
        <w:pStyle w:val="FootnoteText"/>
        <w:rPr>
          <w:lang w:val="en-US"/>
        </w:rPr>
      </w:pPr>
      <w:r w:rsidRPr="00AB3569">
        <w:rPr>
          <w:rStyle w:val="FootnoteReference"/>
        </w:rPr>
        <w:footnoteRef/>
      </w:r>
      <w:r w:rsidRPr="00AB3569">
        <w:rPr>
          <w:lang w:val="en-US"/>
        </w:rPr>
        <w:t xml:space="preserve"> Para. 81. </w:t>
      </w:r>
    </w:p>
  </w:footnote>
  <w:footnote w:id="26">
    <w:p w14:paraId="6C6CC632" w14:textId="77777777" w:rsidR="003230B7" w:rsidRPr="00AB3569" w:rsidRDefault="003230B7">
      <w:pPr>
        <w:pStyle w:val="FootnoteText"/>
        <w:rPr>
          <w:lang w:val="en-US"/>
        </w:rPr>
      </w:pPr>
      <w:r w:rsidRPr="00AB3569">
        <w:rPr>
          <w:rStyle w:val="FootnoteReference"/>
        </w:rPr>
        <w:footnoteRef/>
      </w:r>
      <w:r w:rsidRPr="00AB3569">
        <w:rPr>
          <w:lang w:val="en-US"/>
        </w:rPr>
        <w:t xml:space="preserve"> Para. 82. </w:t>
      </w:r>
    </w:p>
  </w:footnote>
  <w:footnote w:id="27">
    <w:p w14:paraId="23FC6B18" w14:textId="77777777" w:rsidR="003230B7" w:rsidRPr="00AB3569" w:rsidRDefault="003230B7" w:rsidP="00684D3C">
      <w:pPr>
        <w:pStyle w:val="FootnoteText"/>
        <w:rPr>
          <w:lang w:val="en-US"/>
        </w:rPr>
      </w:pPr>
      <w:r w:rsidRPr="00AB3569">
        <w:rPr>
          <w:rStyle w:val="FootnoteReference"/>
        </w:rPr>
        <w:footnoteRef/>
      </w:r>
      <w:r w:rsidRPr="00AB3569">
        <w:rPr>
          <w:lang w:val="en-US"/>
        </w:rPr>
        <w:t xml:space="preserve"> Para 83. She made reference to Article 8(2) of the Charter and Article 12 of the Data Protection Directive, on the right of access to one’s own data, and Article 13(1) of the Directive prescribing restrictions to this right. </w:t>
      </w:r>
    </w:p>
  </w:footnote>
  <w:footnote w:id="28">
    <w:p w14:paraId="25A5462C" w14:textId="77777777" w:rsidR="003230B7" w:rsidRPr="00AB3569" w:rsidRDefault="003230B7">
      <w:pPr>
        <w:pStyle w:val="FootnoteText"/>
        <w:rPr>
          <w:lang w:val="en-US"/>
        </w:rPr>
      </w:pPr>
      <w:r w:rsidRPr="00AB3569">
        <w:rPr>
          <w:rStyle w:val="FootnoteReference"/>
        </w:rPr>
        <w:footnoteRef/>
      </w:r>
      <w:r w:rsidRPr="00AB3569">
        <w:rPr>
          <w:lang w:val="en-US"/>
        </w:rPr>
        <w:t xml:space="preserve"> Para. 122-126. </w:t>
      </w:r>
    </w:p>
  </w:footnote>
  <w:footnote w:id="29">
    <w:p w14:paraId="5081C047" w14:textId="77777777" w:rsidR="003230B7" w:rsidRPr="00AB3569" w:rsidRDefault="003230B7" w:rsidP="00684D3C">
      <w:pPr>
        <w:pStyle w:val="FootnoteText"/>
        <w:rPr>
          <w:lang w:val="en-US"/>
        </w:rPr>
      </w:pPr>
      <w:r w:rsidRPr="00AB3569">
        <w:rPr>
          <w:rStyle w:val="FootnoteReference"/>
        </w:rPr>
        <w:footnoteRef/>
      </w:r>
      <w:r w:rsidRPr="00AB3569">
        <w:rPr>
          <w:lang w:val="en-US"/>
        </w:rPr>
        <w:t xml:space="preserve"> Para. 119-124. </w:t>
      </w:r>
    </w:p>
  </w:footnote>
  <w:footnote w:id="30">
    <w:p w14:paraId="1CBA49C6" w14:textId="77777777" w:rsidR="003230B7" w:rsidRPr="00AB3569" w:rsidRDefault="003230B7">
      <w:pPr>
        <w:pStyle w:val="FootnoteText"/>
        <w:rPr>
          <w:lang w:val="en-US"/>
        </w:rPr>
      </w:pPr>
      <w:r w:rsidRPr="00AB3569">
        <w:rPr>
          <w:rStyle w:val="FootnoteReference"/>
        </w:rPr>
        <w:footnoteRef/>
      </w:r>
      <w:r w:rsidRPr="00AB3569">
        <w:rPr>
          <w:lang w:val="en-US"/>
        </w:rPr>
        <w:t xml:space="preserve"> Para. 55-56. </w:t>
      </w:r>
    </w:p>
  </w:footnote>
  <w:footnote w:id="31">
    <w:p w14:paraId="31ACEC93" w14:textId="77777777" w:rsidR="003230B7" w:rsidRPr="00AB3569" w:rsidRDefault="003230B7">
      <w:pPr>
        <w:pStyle w:val="FootnoteText"/>
        <w:rPr>
          <w:lang w:val="en-US"/>
        </w:rPr>
      </w:pPr>
      <w:r w:rsidRPr="00AB3569">
        <w:rPr>
          <w:rStyle w:val="FootnoteReference"/>
        </w:rPr>
        <w:footnoteRef/>
      </w:r>
      <w:r w:rsidRPr="00AB3569">
        <w:rPr>
          <w:lang w:val="en-US"/>
        </w:rPr>
        <w:t xml:space="preserve"> Para. 57-58. </w:t>
      </w:r>
    </w:p>
  </w:footnote>
  <w:footnote w:id="32">
    <w:p w14:paraId="50CCAD83" w14:textId="7C4D2E46" w:rsidR="004C2724" w:rsidRPr="00AB3569" w:rsidRDefault="004C2724">
      <w:pPr>
        <w:pStyle w:val="FootnoteText"/>
        <w:rPr>
          <w:lang w:val="en-US"/>
        </w:rPr>
      </w:pPr>
      <w:r w:rsidRPr="00AB3569">
        <w:rPr>
          <w:rStyle w:val="FootnoteReference"/>
        </w:rPr>
        <w:footnoteRef/>
      </w:r>
      <w:r w:rsidRPr="00AB3569">
        <w:rPr>
          <w:lang w:val="en-US"/>
        </w:rPr>
        <w:t xml:space="preserve"> The relationship between the two principles will be addressed in section 5.1 below. </w:t>
      </w:r>
    </w:p>
  </w:footnote>
  <w:footnote w:id="33">
    <w:p w14:paraId="51FC8D5B" w14:textId="77777777" w:rsidR="003230B7" w:rsidRPr="00AB3569" w:rsidRDefault="003230B7">
      <w:pPr>
        <w:pStyle w:val="FootnoteText"/>
        <w:rPr>
          <w:lang w:val="es-ES"/>
        </w:rPr>
      </w:pPr>
      <w:r w:rsidRPr="00AB3569">
        <w:rPr>
          <w:rStyle w:val="FootnoteReference"/>
        </w:rPr>
        <w:footnoteRef/>
      </w:r>
      <w:r w:rsidRPr="00AB3569">
        <w:rPr>
          <w:lang w:val="es-ES"/>
        </w:rPr>
        <w:t xml:space="preserve"> Para. 61. </w:t>
      </w:r>
    </w:p>
  </w:footnote>
  <w:footnote w:id="34">
    <w:p w14:paraId="60C7C09C" w14:textId="77777777" w:rsidR="003230B7" w:rsidRPr="00AB3569" w:rsidRDefault="003230B7">
      <w:pPr>
        <w:pStyle w:val="FootnoteText"/>
        <w:rPr>
          <w:lang w:val="es-ES"/>
        </w:rPr>
      </w:pPr>
      <w:r w:rsidRPr="00AB3569">
        <w:rPr>
          <w:rStyle w:val="FootnoteReference"/>
        </w:rPr>
        <w:footnoteRef/>
      </w:r>
      <w:r w:rsidRPr="00AB3569">
        <w:rPr>
          <w:lang w:val="es-ES"/>
        </w:rPr>
        <w:t xml:space="preserve"> Para. 63. </w:t>
      </w:r>
    </w:p>
  </w:footnote>
  <w:footnote w:id="35">
    <w:p w14:paraId="6A3517BB" w14:textId="77777777" w:rsidR="003230B7" w:rsidRPr="00AB3569" w:rsidRDefault="003230B7">
      <w:pPr>
        <w:pStyle w:val="FootnoteText"/>
        <w:rPr>
          <w:lang w:val="es-ES"/>
        </w:rPr>
      </w:pPr>
      <w:r w:rsidRPr="00AB3569">
        <w:rPr>
          <w:rStyle w:val="FootnoteReference"/>
        </w:rPr>
        <w:footnoteRef/>
      </w:r>
      <w:r w:rsidRPr="00AB3569">
        <w:rPr>
          <w:lang w:val="es-ES"/>
        </w:rPr>
        <w:t xml:space="preserve"> Para. 64. </w:t>
      </w:r>
    </w:p>
  </w:footnote>
  <w:footnote w:id="36">
    <w:p w14:paraId="11DC52D4" w14:textId="77777777" w:rsidR="003230B7" w:rsidRPr="00AB3569" w:rsidRDefault="003230B7">
      <w:pPr>
        <w:pStyle w:val="FootnoteText"/>
        <w:rPr>
          <w:lang w:val="es-ES"/>
        </w:rPr>
      </w:pPr>
      <w:r w:rsidRPr="00AB3569">
        <w:rPr>
          <w:rStyle w:val="FootnoteReference"/>
        </w:rPr>
        <w:footnoteRef/>
      </w:r>
      <w:r w:rsidRPr="00AB3569">
        <w:rPr>
          <w:lang w:val="es-ES"/>
        </w:rPr>
        <w:t xml:space="preserve"> Para. 66-68. </w:t>
      </w:r>
    </w:p>
  </w:footnote>
  <w:footnote w:id="37">
    <w:p w14:paraId="4C624616" w14:textId="40DD868C" w:rsidR="003230B7" w:rsidRPr="00AB3569" w:rsidRDefault="003230B7" w:rsidP="00EC0191">
      <w:pPr>
        <w:pStyle w:val="FootnoteText"/>
        <w:rPr>
          <w:lang w:val="en-US"/>
        </w:rPr>
      </w:pPr>
      <w:r w:rsidRPr="00AB3569">
        <w:rPr>
          <w:rStyle w:val="FootnoteReference"/>
        </w:rPr>
        <w:footnoteRef/>
      </w:r>
      <w:r w:rsidRPr="00AB3569">
        <w:rPr>
          <w:lang w:val="en-US"/>
        </w:rPr>
        <w:t xml:space="preserve"> Para. 70-71, with reference to Joined Cases C-317/08 to C-320/08, </w:t>
      </w:r>
      <w:r w:rsidRPr="00AB3569">
        <w:rPr>
          <w:i/>
          <w:lang w:val="en-US"/>
        </w:rPr>
        <w:t xml:space="preserve">Allasini </w:t>
      </w:r>
      <w:r w:rsidRPr="00AB3569">
        <w:rPr>
          <w:lang w:val="en-US"/>
        </w:rPr>
        <w:t xml:space="preserve">EU:C:2010:146, para. 67. </w:t>
      </w:r>
    </w:p>
  </w:footnote>
  <w:footnote w:id="38">
    <w:p w14:paraId="7127A73C" w14:textId="77777777" w:rsidR="003230B7" w:rsidRPr="00AB3569" w:rsidRDefault="003230B7">
      <w:pPr>
        <w:pStyle w:val="FootnoteText"/>
        <w:rPr>
          <w:lang w:val="en-US"/>
        </w:rPr>
      </w:pPr>
      <w:r w:rsidRPr="00AB3569">
        <w:rPr>
          <w:rStyle w:val="FootnoteReference"/>
        </w:rPr>
        <w:footnoteRef/>
      </w:r>
      <w:r w:rsidRPr="00AB3569">
        <w:rPr>
          <w:lang w:val="en-US"/>
        </w:rPr>
        <w:t xml:space="preserve"> Para. 87-91. </w:t>
      </w:r>
    </w:p>
  </w:footnote>
  <w:footnote w:id="39">
    <w:p w14:paraId="1947A28F" w14:textId="77777777" w:rsidR="003230B7" w:rsidRPr="00AB3569" w:rsidRDefault="003230B7">
      <w:pPr>
        <w:pStyle w:val="FootnoteText"/>
        <w:rPr>
          <w:lang w:val="en-US"/>
        </w:rPr>
      </w:pPr>
      <w:r w:rsidRPr="00AB3569">
        <w:rPr>
          <w:rStyle w:val="FootnoteReference"/>
        </w:rPr>
        <w:footnoteRef/>
      </w:r>
      <w:r w:rsidRPr="00AB3569">
        <w:rPr>
          <w:lang w:val="en-US"/>
        </w:rPr>
        <w:t xml:space="preserve"> Para. 90. </w:t>
      </w:r>
    </w:p>
  </w:footnote>
  <w:footnote w:id="40">
    <w:p w14:paraId="6C3401DE" w14:textId="77777777" w:rsidR="003230B7" w:rsidRPr="00AB3569" w:rsidRDefault="003230B7">
      <w:pPr>
        <w:pStyle w:val="FootnoteText"/>
        <w:rPr>
          <w:lang w:val="en-US"/>
        </w:rPr>
      </w:pPr>
      <w:r w:rsidRPr="00AB3569">
        <w:rPr>
          <w:rStyle w:val="FootnoteReference"/>
        </w:rPr>
        <w:footnoteRef/>
      </w:r>
      <w:r w:rsidRPr="00AB3569">
        <w:rPr>
          <w:lang w:val="en-US"/>
        </w:rPr>
        <w:t xml:space="preserve"> Para. 92. </w:t>
      </w:r>
    </w:p>
  </w:footnote>
  <w:footnote w:id="41">
    <w:p w14:paraId="22388B26" w14:textId="77777777" w:rsidR="003230B7" w:rsidRPr="00AB3569" w:rsidRDefault="003230B7" w:rsidP="00684D3C">
      <w:pPr>
        <w:pStyle w:val="FootnoteText"/>
        <w:rPr>
          <w:lang w:val="es-ES"/>
        </w:rPr>
      </w:pPr>
      <w:r w:rsidRPr="00AB3569">
        <w:rPr>
          <w:rStyle w:val="FootnoteReference"/>
        </w:rPr>
        <w:footnoteRef/>
      </w:r>
      <w:r w:rsidRPr="00AB3569">
        <w:rPr>
          <w:lang w:val="en-US"/>
        </w:rPr>
        <w:t xml:space="preserve"> Para 94. The referring court had to ascertain whether the information and access rights enshrined in Articles 10-12 could be lawfully limited in accordance with the rules laid down in Article 13(1), cf. para. </w:t>
      </w:r>
      <w:r w:rsidRPr="00AB3569">
        <w:rPr>
          <w:lang w:val="es-ES"/>
        </w:rPr>
        <w:t xml:space="preserve">95-97. </w:t>
      </w:r>
    </w:p>
  </w:footnote>
  <w:footnote w:id="42">
    <w:p w14:paraId="6E3F010D" w14:textId="77777777" w:rsidR="003230B7" w:rsidRPr="00AB3569" w:rsidRDefault="003230B7">
      <w:pPr>
        <w:pStyle w:val="FootnoteText"/>
        <w:rPr>
          <w:lang w:val="es-ES"/>
        </w:rPr>
      </w:pPr>
      <w:r w:rsidRPr="00AB3569">
        <w:rPr>
          <w:rStyle w:val="FootnoteReference"/>
        </w:rPr>
        <w:footnoteRef/>
      </w:r>
      <w:r w:rsidRPr="00AB3569">
        <w:rPr>
          <w:lang w:val="es-ES"/>
        </w:rPr>
        <w:t xml:space="preserve"> Para. 102. </w:t>
      </w:r>
    </w:p>
  </w:footnote>
  <w:footnote w:id="43">
    <w:p w14:paraId="02183E2C" w14:textId="77777777" w:rsidR="003230B7" w:rsidRPr="00AB3569" w:rsidRDefault="003230B7">
      <w:pPr>
        <w:pStyle w:val="FootnoteText"/>
        <w:rPr>
          <w:lang w:val="es-ES"/>
        </w:rPr>
      </w:pPr>
      <w:r w:rsidRPr="00AB3569">
        <w:rPr>
          <w:rStyle w:val="FootnoteReference"/>
        </w:rPr>
        <w:footnoteRef/>
      </w:r>
      <w:r w:rsidRPr="00AB3569">
        <w:rPr>
          <w:lang w:val="es-ES"/>
        </w:rPr>
        <w:t xml:space="preserve"> Para. 104. </w:t>
      </w:r>
    </w:p>
  </w:footnote>
  <w:footnote w:id="44">
    <w:p w14:paraId="7715C791" w14:textId="77777777" w:rsidR="003230B7" w:rsidRPr="00AB3569" w:rsidRDefault="003230B7">
      <w:pPr>
        <w:pStyle w:val="FootnoteText"/>
        <w:rPr>
          <w:lang w:val="es-ES"/>
        </w:rPr>
      </w:pPr>
      <w:r w:rsidRPr="00AB3569">
        <w:rPr>
          <w:rStyle w:val="FootnoteReference"/>
        </w:rPr>
        <w:footnoteRef/>
      </w:r>
      <w:r w:rsidRPr="00AB3569">
        <w:rPr>
          <w:lang w:val="es-ES"/>
        </w:rPr>
        <w:t xml:space="preserve"> Para. 106-109. </w:t>
      </w:r>
    </w:p>
  </w:footnote>
  <w:footnote w:id="45">
    <w:p w14:paraId="1995FE9D" w14:textId="77777777" w:rsidR="003230B7" w:rsidRPr="00AB3569" w:rsidRDefault="003230B7">
      <w:pPr>
        <w:pStyle w:val="FootnoteText"/>
        <w:rPr>
          <w:lang w:val="es-ES"/>
        </w:rPr>
      </w:pPr>
      <w:r w:rsidRPr="00AB3569">
        <w:rPr>
          <w:rStyle w:val="FootnoteReference"/>
        </w:rPr>
        <w:footnoteRef/>
      </w:r>
      <w:r w:rsidRPr="00AB3569">
        <w:rPr>
          <w:lang w:val="es-ES"/>
        </w:rPr>
        <w:t xml:space="preserve"> Para. 111-113. </w:t>
      </w:r>
    </w:p>
  </w:footnote>
  <w:footnote w:id="46">
    <w:p w14:paraId="2A559E09" w14:textId="77777777" w:rsidR="003230B7" w:rsidRPr="00AB3569" w:rsidRDefault="003230B7">
      <w:pPr>
        <w:pStyle w:val="FootnoteText"/>
        <w:rPr>
          <w:lang w:val="es-ES"/>
        </w:rPr>
      </w:pPr>
      <w:r w:rsidRPr="00AB3569">
        <w:rPr>
          <w:rStyle w:val="FootnoteReference"/>
        </w:rPr>
        <w:footnoteRef/>
      </w:r>
      <w:r w:rsidRPr="00AB3569">
        <w:rPr>
          <w:lang w:val="es-ES"/>
        </w:rPr>
        <w:t xml:space="preserve"> Para. 114. </w:t>
      </w:r>
    </w:p>
  </w:footnote>
  <w:footnote w:id="47">
    <w:p w14:paraId="319C804F" w14:textId="517F9B13" w:rsidR="003230B7" w:rsidRPr="00AB3569" w:rsidRDefault="003230B7" w:rsidP="001B12C9">
      <w:pPr>
        <w:pStyle w:val="FootnoteText"/>
        <w:rPr>
          <w:lang w:val="es-ES"/>
        </w:rPr>
      </w:pPr>
      <w:r w:rsidRPr="00AB3569">
        <w:rPr>
          <w:rStyle w:val="FootnoteReference"/>
        </w:rPr>
        <w:footnoteRef/>
      </w:r>
      <w:r w:rsidRPr="00AB3569">
        <w:rPr>
          <w:lang w:val="es-ES"/>
        </w:rPr>
        <w:t xml:space="preserve"> Case C-417/13, </w:t>
      </w:r>
      <w:r w:rsidRPr="00AB3569">
        <w:rPr>
          <w:i/>
          <w:lang w:val="es-ES"/>
        </w:rPr>
        <w:t>ÖBB Personenverkehr</w:t>
      </w:r>
      <w:r w:rsidRPr="00AB3569">
        <w:rPr>
          <w:lang w:val="es-ES"/>
        </w:rPr>
        <w:t xml:space="preserve"> EU:C:2015:38.  </w:t>
      </w:r>
    </w:p>
  </w:footnote>
  <w:footnote w:id="48">
    <w:p w14:paraId="5BF323A6" w14:textId="4ACCD8C6" w:rsidR="003230B7" w:rsidRPr="00AB3569" w:rsidRDefault="003230B7" w:rsidP="00340CB5">
      <w:pPr>
        <w:pStyle w:val="FootnoteText"/>
        <w:rPr>
          <w:lang w:val="en-US"/>
        </w:rPr>
      </w:pPr>
      <w:r w:rsidRPr="00AB3569">
        <w:rPr>
          <w:rStyle w:val="FootnoteReference"/>
        </w:rPr>
        <w:footnoteRef/>
      </w:r>
      <w:r w:rsidRPr="00AB3569">
        <w:rPr>
          <w:lang w:val="en-US"/>
        </w:rPr>
        <w:t xml:space="preserve"> Case C-61/14, </w:t>
      </w:r>
      <w:r w:rsidRPr="00AB3569">
        <w:rPr>
          <w:i/>
          <w:lang w:val="en-US"/>
        </w:rPr>
        <w:t>Orizzonte</w:t>
      </w:r>
      <w:r w:rsidRPr="00AB3569">
        <w:rPr>
          <w:lang w:val="en-US"/>
        </w:rPr>
        <w:t xml:space="preserve">, EU:C:2015:655 and Case C-205/15 </w:t>
      </w:r>
      <w:r w:rsidRPr="00AB3569">
        <w:rPr>
          <w:i/>
          <w:lang w:val="en-US"/>
        </w:rPr>
        <w:t>Toma</w:t>
      </w:r>
      <w:r w:rsidRPr="00AB3569">
        <w:rPr>
          <w:lang w:val="en-US"/>
        </w:rPr>
        <w:t xml:space="preserve"> EU:C:2016:499. </w:t>
      </w:r>
    </w:p>
  </w:footnote>
  <w:footnote w:id="49">
    <w:p w14:paraId="19AB860D" w14:textId="1B9BB99D" w:rsidR="003230B7" w:rsidRPr="00AB3569" w:rsidRDefault="003230B7" w:rsidP="001B12C9">
      <w:pPr>
        <w:pStyle w:val="FootnoteText"/>
        <w:rPr>
          <w:lang w:val="en-US"/>
        </w:rPr>
      </w:pPr>
      <w:r w:rsidRPr="00AB3569">
        <w:rPr>
          <w:rStyle w:val="FootnoteReference"/>
        </w:rPr>
        <w:footnoteRef/>
      </w:r>
      <w:r w:rsidRPr="00AB3569">
        <w:rPr>
          <w:lang w:val="en-US"/>
        </w:rPr>
        <w:t xml:space="preserve"> See case C-12/08, </w:t>
      </w:r>
      <w:r w:rsidRPr="00AB3569">
        <w:rPr>
          <w:i/>
          <w:lang w:val="en-US"/>
        </w:rPr>
        <w:t>Mono Car Styling</w:t>
      </w:r>
      <w:r w:rsidRPr="00AB3569">
        <w:rPr>
          <w:lang w:val="en-US"/>
        </w:rPr>
        <w:t xml:space="preserve">, EU:C:2009:466, para. 49, where the Court referred to all the principles. </w:t>
      </w:r>
    </w:p>
  </w:footnote>
  <w:footnote w:id="50">
    <w:p w14:paraId="64426608" w14:textId="20A505D8" w:rsidR="003230B7" w:rsidRPr="00AB3569" w:rsidRDefault="003230B7" w:rsidP="001B12C9">
      <w:pPr>
        <w:pStyle w:val="FootnoteText"/>
        <w:rPr>
          <w:lang w:val="es-ES"/>
        </w:rPr>
      </w:pPr>
      <w:r w:rsidRPr="00AB3569">
        <w:rPr>
          <w:rStyle w:val="FootnoteReference"/>
        </w:rPr>
        <w:footnoteRef/>
      </w:r>
      <w:r w:rsidRPr="00AB3569">
        <w:rPr>
          <w:lang w:val="es-ES"/>
        </w:rPr>
        <w:t xml:space="preserve"> Case C</w:t>
      </w:r>
      <w:r w:rsidRPr="00AB3569">
        <w:rPr>
          <w:rFonts w:ascii="MS Gothic" w:eastAsia="MS Gothic" w:hAnsi="MS Gothic" w:cs="MS Gothic" w:hint="eastAsia"/>
          <w:lang w:val="es-ES"/>
        </w:rPr>
        <w:t>‑</w:t>
      </w:r>
      <w:r w:rsidRPr="00AB3569">
        <w:rPr>
          <w:lang w:val="es-ES"/>
        </w:rPr>
        <w:t xml:space="preserve">268/06, </w:t>
      </w:r>
      <w:r w:rsidRPr="00AB3569">
        <w:rPr>
          <w:i/>
          <w:lang w:val="es-ES"/>
        </w:rPr>
        <w:t>Impact,</w:t>
      </w:r>
      <w:r w:rsidRPr="00AB3569">
        <w:rPr>
          <w:lang w:val="es-ES"/>
        </w:rPr>
        <w:t xml:space="preserve"> EU:C:2008:223, para 47 and Case C-63/08, </w:t>
      </w:r>
      <w:r w:rsidRPr="00AB3569">
        <w:rPr>
          <w:i/>
          <w:lang w:val="es-ES"/>
        </w:rPr>
        <w:t>Pontin</w:t>
      </w:r>
      <w:r w:rsidRPr="00AB3569">
        <w:rPr>
          <w:lang w:val="es-ES"/>
        </w:rPr>
        <w:t xml:space="preserve">, EU:C:2009:666, para. 44. </w:t>
      </w:r>
    </w:p>
  </w:footnote>
  <w:footnote w:id="51">
    <w:p w14:paraId="62511B6B" w14:textId="469F93B0" w:rsidR="003230B7" w:rsidRPr="00AB3569" w:rsidRDefault="003230B7" w:rsidP="001B12C9">
      <w:pPr>
        <w:pStyle w:val="FootnoteText"/>
        <w:rPr>
          <w:lang w:val="es-ES"/>
        </w:rPr>
      </w:pPr>
      <w:r w:rsidRPr="00AB3569">
        <w:rPr>
          <w:rStyle w:val="FootnoteReference"/>
        </w:rPr>
        <w:footnoteRef/>
      </w:r>
      <w:r w:rsidRPr="00AB3569">
        <w:rPr>
          <w:lang w:val="es-ES"/>
        </w:rPr>
        <w:t xml:space="preserve"> Case C-169/14, </w:t>
      </w:r>
      <w:r w:rsidRPr="00AB3569">
        <w:rPr>
          <w:i/>
          <w:lang w:val="es-ES"/>
        </w:rPr>
        <w:t>Sánchez Morcillo,</w:t>
      </w:r>
      <w:r w:rsidRPr="00AB3569">
        <w:rPr>
          <w:lang w:val="es-ES"/>
        </w:rPr>
        <w:t xml:space="preserve"> EU:C:2014:2099, para. 35 </w:t>
      </w:r>
    </w:p>
  </w:footnote>
  <w:footnote w:id="52">
    <w:p w14:paraId="5C95C1E5" w14:textId="77A867AE" w:rsidR="003230B7" w:rsidRPr="00AB3569" w:rsidRDefault="003230B7" w:rsidP="001B12C9">
      <w:pPr>
        <w:pStyle w:val="FootnoteText"/>
        <w:rPr>
          <w:lang w:val="en-US"/>
        </w:rPr>
      </w:pPr>
      <w:r w:rsidRPr="00AB3569">
        <w:rPr>
          <w:rStyle w:val="FootnoteReference"/>
        </w:rPr>
        <w:footnoteRef/>
      </w:r>
      <w:r w:rsidRPr="00AB3569">
        <w:rPr>
          <w:lang w:val="es-ES"/>
        </w:rPr>
        <w:t xml:space="preserve"> See, </w:t>
      </w:r>
      <w:r w:rsidRPr="00AB3569">
        <w:rPr>
          <w:i/>
          <w:lang w:val="es-ES"/>
        </w:rPr>
        <w:t>inter alia</w:t>
      </w:r>
      <w:r w:rsidRPr="00AB3569">
        <w:rPr>
          <w:lang w:val="es-ES"/>
        </w:rPr>
        <w:t xml:space="preserve">, Case C-93/12, </w:t>
      </w:r>
      <w:r w:rsidRPr="00AB3569">
        <w:rPr>
          <w:i/>
          <w:lang w:val="es-ES"/>
        </w:rPr>
        <w:t>ET Agroconsulting</w:t>
      </w:r>
      <w:r w:rsidRPr="00AB3569">
        <w:rPr>
          <w:lang w:val="es-ES"/>
        </w:rPr>
        <w:t xml:space="preserve"> EU:C:2013:432, paras 48-60, Joined Cases C-317/08 to 320/08, </w:t>
      </w:r>
      <w:r w:rsidRPr="00AB3569">
        <w:rPr>
          <w:i/>
          <w:lang w:val="es-ES"/>
        </w:rPr>
        <w:t xml:space="preserve">Alassini, </w:t>
      </w:r>
      <w:r w:rsidRPr="00AB3569">
        <w:rPr>
          <w:lang w:val="es-ES"/>
        </w:rPr>
        <w:t xml:space="preserve">EU:C:2010:146, paras 47-65 and Case C-205/15 </w:t>
      </w:r>
      <w:r w:rsidRPr="00AB3569">
        <w:rPr>
          <w:i/>
          <w:lang w:val="es-ES"/>
        </w:rPr>
        <w:t>Toma,</w:t>
      </w:r>
      <w:r w:rsidRPr="00AB3569">
        <w:rPr>
          <w:lang w:val="es-ES"/>
        </w:rPr>
        <w:t xml:space="preserve"> EU:C:2016:499, paras 39-59. </w:t>
      </w:r>
      <w:r w:rsidRPr="00AB3569">
        <w:rPr>
          <w:lang w:val="en-US"/>
        </w:rPr>
        <w:t xml:space="preserve">The inconsistencies in the Court’s jurisprudence is discussed by </w:t>
      </w:r>
      <w:r w:rsidR="00B701C1" w:rsidRPr="00AB3569">
        <w:rPr>
          <w:lang w:val="en-US"/>
        </w:rPr>
        <w:t>Krommendi</w:t>
      </w:r>
      <w:r w:rsidR="00C757BE" w:rsidRPr="00AB3569">
        <w:rPr>
          <w:lang w:val="en-US"/>
        </w:rPr>
        <w:t>jk, “</w:t>
      </w:r>
      <w:r w:rsidRPr="00AB3569">
        <w:rPr>
          <w:lang w:val="en-US"/>
        </w:rPr>
        <w:t>Is There Light on the Horizon? The Distinction between “Rewe Effectiveness” and the Principle of Effective Judicial Protection in Article 47 of the Cha</w:t>
      </w:r>
      <w:r w:rsidR="00C757BE" w:rsidRPr="00AB3569">
        <w:rPr>
          <w:lang w:val="en-US"/>
        </w:rPr>
        <w:t>rter after Orizzonte”</w:t>
      </w:r>
      <w:r w:rsidRPr="00AB3569">
        <w:rPr>
          <w:lang w:val="en-US"/>
        </w:rPr>
        <w:t xml:space="preserve">, 53 CML Rev. (2016), 1395-1418, at 1408-1412. </w:t>
      </w:r>
    </w:p>
  </w:footnote>
  <w:footnote w:id="53">
    <w:p w14:paraId="783C48DA" w14:textId="5292DDD6" w:rsidR="003230B7" w:rsidRPr="00AB3569" w:rsidRDefault="003230B7" w:rsidP="00340CB5">
      <w:pPr>
        <w:pStyle w:val="FootnoteText"/>
        <w:rPr>
          <w:lang w:val="en-US"/>
        </w:rPr>
      </w:pPr>
      <w:r w:rsidRPr="00AB3569">
        <w:rPr>
          <w:rStyle w:val="FootnoteReference"/>
        </w:rPr>
        <w:footnoteRef/>
      </w:r>
      <w:r w:rsidRPr="00AB3569">
        <w:rPr>
          <w:lang w:val="en-US"/>
        </w:rPr>
        <w:t xml:space="preserve"> Opinion para. 51.</w:t>
      </w:r>
    </w:p>
  </w:footnote>
  <w:footnote w:id="54">
    <w:p w14:paraId="5574C9FA" w14:textId="474E3049" w:rsidR="00A14EF8" w:rsidRPr="00AB3569" w:rsidRDefault="00A14EF8" w:rsidP="00A14EF8">
      <w:pPr>
        <w:pStyle w:val="FootnoteText"/>
        <w:rPr>
          <w:lang w:val="en-US"/>
        </w:rPr>
      </w:pPr>
      <w:r w:rsidRPr="00AB3569">
        <w:rPr>
          <w:rStyle w:val="FootnoteReference"/>
        </w:rPr>
        <w:footnoteRef/>
      </w:r>
      <w:r w:rsidRPr="00AB3569">
        <w:rPr>
          <w:lang w:val="en-US"/>
        </w:rPr>
        <w:t xml:space="preserve"> Para. 57. This largely echoes the Court’s statement in Case C-432/05 </w:t>
      </w:r>
      <w:r w:rsidRPr="00AB3569">
        <w:rPr>
          <w:i/>
          <w:lang w:val="en-US"/>
        </w:rPr>
        <w:t>Unibet,</w:t>
      </w:r>
      <w:r w:rsidRPr="00AB3569">
        <w:rPr>
          <w:lang w:val="en-US"/>
        </w:rPr>
        <w:t xml:space="preserve"> EU:C:2007:163, para. 38.</w:t>
      </w:r>
    </w:p>
  </w:footnote>
  <w:footnote w:id="55">
    <w:p w14:paraId="61559007" w14:textId="7D1CDF08" w:rsidR="003230B7" w:rsidRPr="00AB3569" w:rsidRDefault="003230B7" w:rsidP="00132E73">
      <w:pPr>
        <w:pStyle w:val="FootnoteText"/>
        <w:rPr>
          <w:lang w:val="en-US"/>
        </w:rPr>
      </w:pPr>
      <w:r w:rsidRPr="00AB3569">
        <w:rPr>
          <w:rStyle w:val="FootnoteReference"/>
        </w:rPr>
        <w:footnoteRef/>
      </w:r>
      <w:r w:rsidRPr="00AB3569">
        <w:rPr>
          <w:lang w:val="en-US"/>
        </w:rPr>
        <w:t xml:space="preserve"> The Court has held that the principle of effectiveness shall be examined having regard to “the role of that provision in the procedures, its progress and its special features, viewed as a whole, before the various national instances” and the basic principles of the domestic judicial system, such as protection of the rights of defence, the principle of legal certainty and proper conduct of procedure”, cf. Joined Cases C-430/93 and C-431/93, </w:t>
      </w:r>
      <w:r w:rsidRPr="00AB3569">
        <w:rPr>
          <w:i/>
          <w:lang w:val="en-US"/>
        </w:rPr>
        <w:t>Van Schijndel,</w:t>
      </w:r>
      <w:r w:rsidRPr="00AB3569">
        <w:rPr>
          <w:lang w:val="en-US"/>
        </w:rPr>
        <w:t xml:space="preserve"> EU:C:1995:441, para. 19 and Case C-312/93, </w:t>
      </w:r>
      <w:r w:rsidRPr="00AB3569">
        <w:rPr>
          <w:i/>
          <w:lang w:val="en-US"/>
        </w:rPr>
        <w:t xml:space="preserve">Peterbroeck, </w:t>
      </w:r>
      <w:r w:rsidRPr="00AB3569">
        <w:rPr>
          <w:lang w:val="en-US"/>
        </w:rPr>
        <w:t>EU:C:1995:437, para. 14. On the differences between these two tests, see further Krommendi</w:t>
      </w:r>
      <w:r w:rsidR="00FA4260" w:rsidRPr="00AB3569">
        <w:rPr>
          <w:lang w:val="en-US"/>
        </w:rPr>
        <w:t>j</w:t>
      </w:r>
      <w:r w:rsidRPr="00AB3569">
        <w:rPr>
          <w:lang w:val="en-US"/>
        </w:rPr>
        <w:t xml:space="preserve">k, op.cit. </w:t>
      </w:r>
      <w:r w:rsidRPr="00AB3569">
        <w:rPr>
          <w:i/>
          <w:lang w:val="en-US"/>
        </w:rPr>
        <w:t>supra</w:t>
      </w:r>
      <w:r w:rsidR="00FA4260" w:rsidRPr="00AB3569">
        <w:rPr>
          <w:lang w:val="en-US"/>
        </w:rPr>
        <w:t xml:space="preserve"> note 52</w:t>
      </w:r>
      <w:r w:rsidRPr="00AB3569">
        <w:rPr>
          <w:lang w:val="en-US"/>
        </w:rPr>
        <w:t xml:space="preserve">, at 1406-1407. </w:t>
      </w:r>
    </w:p>
  </w:footnote>
  <w:footnote w:id="56">
    <w:p w14:paraId="2A8335DC" w14:textId="5826BFAF" w:rsidR="003230B7" w:rsidRPr="00AB3569" w:rsidRDefault="003230B7" w:rsidP="00581805">
      <w:pPr>
        <w:pStyle w:val="FootnoteText"/>
        <w:rPr>
          <w:lang w:val="en-US"/>
        </w:rPr>
      </w:pPr>
      <w:r w:rsidRPr="00AB3569">
        <w:rPr>
          <w:rStyle w:val="FootnoteReference"/>
        </w:rPr>
        <w:footnoteRef/>
      </w:r>
      <w:r w:rsidRPr="00AB3569">
        <w:rPr>
          <w:lang w:val="es-ES"/>
        </w:rPr>
        <w:t xml:space="preserve"> Advocate General Szpunar in Case C</w:t>
      </w:r>
      <w:r w:rsidRPr="00AB3569">
        <w:rPr>
          <w:rFonts w:ascii="MS Mincho" w:eastAsia="MS Mincho" w:hAnsi="MS Mincho" w:cs="MS Mincho" w:hint="eastAsia"/>
          <w:lang w:val="es-ES"/>
        </w:rPr>
        <w:t>‑</w:t>
      </w:r>
      <w:r w:rsidRPr="00AB3569">
        <w:rPr>
          <w:lang w:val="es-ES"/>
        </w:rPr>
        <w:t xml:space="preserve">49/14, </w:t>
      </w:r>
      <w:r w:rsidRPr="00AB3569">
        <w:rPr>
          <w:i/>
          <w:lang w:val="es-ES"/>
        </w:rPr>
        <w:t xml:space="preserve">Finanmadrid, </w:t>
      </w:r>
      <w:r w:rsidRPr="00AB3569">
        <w:rPr>
          <w:lang w:val="es-ES"/>
        </w:rPr>
        <w:t xml:space="preserve">EU:C:2015:746, para. </w:t>
      </w:r>
      <w:r w:rsidRPr="00AB3569">
        <w:rPr>
          <w:lang w:val="en-US"/>
        </w:rPr>
        <w:t xml:space="preserve">85. The differences between these forms of effectiveness were also addressed by Advocate General Jääskinen in Case C-61/14, </w:t>
      </w:r>
      <w:r w:rsidRPr="00AB3569">
        <w:rPr>
          <w:i/>
          <w:lang w:val="en-US"/>
        </w:rPr>
        <w:t>Orizzonte</w:t>
      </w:r>
      <w:r w:rsidRPr="00AB3569">
        <w:rPr>
          <w:lang w:val="en-US"/>
        </w:rPr>
        <w:t xml:space="preserve">, EU:C:2015:307, at paras 33-37. </w:t>
      </w:r>
    </w:p>
  </w:footnote>
  <w:footnote w:id="57">
    <w:p w14:paraId="06B6002F" w14:textId="33D6F25A" w:rsidR="003230B7" w:rsidRPr="00AB3569" w:rsidRDefault="003230B7" w:rsidP="001B12C9">
      <w:pPr>
        <w:pStyle w:val="FootnoteText"/>
        <w:rPr>
          <w:lang w:val="en-US"/>
        </w:rPr>
      </w:pPr>
      <w:r w:rsidRPr="00AB3569">
        <w:rPr>
          <w:rStyle w:val="FootnoteReference"/>
        </w:rPr>
        <w:footnoteRef/>
      </w:r>
      <w:r w:rsidRPr="00AB3569">
        <w:rPr>
          <w:lang w:val="es-ES"/>
        </w:rPr>
        <w:t xml:space="preserve"> Case C-49/14 </w:t>
      </w:r>
      <w:r w:rsidRPr="00AB3569">
        <w:rPr>
          <w:i/>
          <w:lang w:val="es-ES"/>
        </w:rPr>
        <w:t>Finanmadrid</w:t>
      </w:r>
      <w:r w:rsidRPr="00AB3569">
        <w:rPr>
          <w:lang w:val="es-ES"/>
        </w:rPr>
        <w:t xml:space="preserve">, EU:C:2016:98, para. </w:t>
      </w:r>
      <w:r w:rsidRPr="00AB3569">
        <w:rPr>
          <w:lang w:val="en-US"/>
        </w:rPr>
        <w:t xml:space="preserve">40. </w:t>
      </w:r>
    </w:p>
  </w:footnote>
  <w:footnote w:id="58">
    <w:p w14:paraId="0F31B496" w14:textId="5ED8D958" w:rsidR="003230B7" w:rsidRPr="00AB3569" w:rsidRDefault="003230B7" w:rsidP="001B12C9">
      <w:pPr>
        <w:pStyle w:val="FootnoteText"/>
        <w:rPr>
          <w:lang w:val="en-US"/>
        </w:rPr>
      </w:pPr>
      <w:r w:rsidRPr="00AB3569">
        <w:rPr>
          <w:rStyle w:val="FootnoteReference"/>
        </w:rPr>
        <w:footnoteRef/>
      </w:r>
      <w:r w:rsidRPr="00AB3569">
        <w:rPr>
          <w:lang w:val="en-US"/>
        </w:rPr>
        <w:t xml:space="preserve"> See, inter a</w:t>
      </w:r>
      <w:r w:rsidR="00C757BE" w:rsidRPr="00AB3569">
        <w:rPr>
          <w:lang w:val="en-US"/>
        </w:rPr>
        <w:t>lia, Prechal and Widdershoven, “</w:t>
      </w:r>
      <w:r w:rsidRPr="00AB3569">
        <w:rPr>
          <w:lang w:val="en-US"/>
        </w:rPr>
        <w:t>Redefining the Relationship between `Rewe-Effectiveness´ an</w:t>
      </w:r>
      <w:r w:rsidR="00C757BE" w:rsidRPr="00AB3569">
        <w:rPr>
          <w:lang w:val="en-US"/>
        </w:rPr>
        <w:t>d Effective Judicial Protection”</w:t>
      </w:r>
      <w:r w:rsidRPr="00AB3569">
        <w:rPr>
          <w:lang w:val="en-US"/>
        </w:rPr>
        <w:t xml:space="preserve"> 4 RE</w:t>
      </w:r>
      <w:r w:rsidR="00C757BE" w:rsidRPr="00AB3569">
        <w:rPr>
          <w:lang w:val="en-US"/>
        </w:rPr>
        <w:t>ALaw (2011), 31-50 and Arnull, “</w:t>
      </w:r>
      <w:r w:rsidRPr="00AB3569">
        <w:rPr>
          <w:lang w:val="en-US"/>
        </w:rPr>
        <w:t xml:space="preserve">The Principle of Effective Judicial Protection in EU Law: </w:t>
      </w:r>
      <w:r w:rsidR="00C757BE" w:rsidRPr="00AB3569">
        <w:rPr>
          <w:lang w:val="en-US"/>
        </w:rPr>
        <w:t>An Unruly Horse?”</w:t>
      </w:r>
      <w:r w:rsidRPr="00AB3569">
        <w:rPr>
          <w:lang w:val="en-US"/>
        </w:rPr>
        <w:t xml:space="preserve"> 36 EL Rev. (2011) 51-70. </w:t>
      </w:r>
    </w:p>
  </w:footnote>
  <w:footnote w:id="59">
    <w:p w14:paraId="00E9AA19" w14:textId="1024D91A" w:rsidR="003230B7" w:rsidRPr="00AB3569" w:rsidRDefault="003230B7" w:rsidP="001B12C9">
      <w:pPr>
        <w:pStyle w:val="FootnoteText"/>
        <w:rPr>
          <w:lang w:val="en-US"/>
        </w:rPr>
      </w:pPr>
      <w:r w:rsidRPr="00AB3569">
        <w:rPr>
          <w:rStyle w:val="FootnoteReference"/>
        </w:rPr>
        <w:footnoteRef/>
      </w:r>
      <w:r w:rsidRPr="00AB3569">
        <w:rPr>
          <w:lang w:val="en-US"/>
        </w:rPr>
        <w:t xml:space="preserve"> Krommendijk, op.cit</w:t>
      </w:r>
      <w:r w:rsidRPr="00AB3569">
        <w:rPr>
          <w:i/>
          <w:lang w:val="en-US"/>
        </w:rPr>
        <w:t>. supra</w:t>
      </w:r>
      <w:r w:rsidR="00FA4260" w:rsidRPr="00AB3569">
        <w:rPr>
          <w:lang w:val="en-US"/>
        </w:rPr>
        <w:t xml:space="preserve"> note 52</w:t>
      </w:r>
      <w:r w:rsidRPr="00AB3569">
        <w:rPr>
          <w:lang w:val="en-US"/>
        </w:rPr>
        <w:t xml:space="preserve">, at 1413. See also Engström, </w:t>
      </w:r>
      <w:r w:rsidR="00C757BE" w:rsidRPr="00AB3569">
        <w:rPr>
          <w:lang w:val="en-US"/>
        </w:rPr>
        <w:t>“</w:t>
      </w:r>
      <w:r w:rsidRPr="00AB3569">
        <w:rPr>
          <w:lang w:val="en-US"/>
        </w:rPr>
        <w:t>The principle of effective judicial protection after the Lisbon Treaty</w:t>
      </w:r>
      <w:r w:rsidR="00C757BE" w:rsidRPr="00AB3569">
        <w:rPr>
          <w:lang w:val="en-US"/>
        </w:rPr>
        <w:t>”</w:t>
      </w:r>
      <w:r w:rsidRPr="00AB3569">
        <w:rPr>
          <w:lang w:val="en-US"/>
        </w:rPr>
        <w:t xml:space="preserve"> 4 REALaw (2011) 53-68, at 63. </w:t>
      </w:r>
    </w:p>
  </w:footnote>
  <w:footnote w:id="60">
    <w:p w14:paraId="1F2F3F20" w14:textId="49A2B0DC" w:rsidR="003230B7" w:rsidRPr="00AB3569" w:rsidRDefault="003230B7">
      <w:pPr>
        <w:pStyle w:val="FootnoteText"/>
        <w:rPr>
          <w:lang w:val="en-US"/>
        </w:rPr>
      </w:pPr>
      <w:r w:rsidRPr="00AB3569">
        <w:rPr>
          <w:rStyle w:val="FootnoteReference"/>
        </w:rPr>
        <w:footnoteRef/>
      </w:r>
      <w:r w:rsidRPr="00AB3569">
        <w:rPr>
          <w:lang w:val="en-US"/>
        </w:rPr>
        <w:t xml:space="preserve"> This has also</w:t>
      </w:r>
      <w:r w:rsidR="00B701C1" w:rsidRPr="00AB3569">
        <w:rPr>
          <w:lang w:val="en-US"/>
        </w:rPr>
        <w:t xml:space="preserve"> been pointed out by Krommendijk</w:t>
      </w:r>
      <w:r w:rsidRPr="00AB3569">
        <w:rPr>
          <w:lang w:val="en-US"/>
        </w:rPr>
        <w:t xml:space="preserve"> op.cit. </w:t>
      </w:r>
      <w:r w:rsidRPr="00AB3569">
        <w:rPr>
          <w:i/>
          <w:lang w:val="en-US"/>
        </w:rPr>
        <w:t>supra</w:t>
      </w:r>
      <w:r w:rsidR="00FA4260" w:rsidRPr="00AB3569">
        <w:rPr>
          <w:lang w:val="en-US"/>
        </w:rPr>
        <w:t xml:space="preserve"> note 52</w:t>
      </w:r>
      <w:r w:rsidRPr="00AB3569">
        <w:rPr>
          <w:lang w:val="en-US"/>
        </w:rPr>
        <w:t xml:space="preserve"> at 1414. </w:t>
      </w:r>
    </w:p>
  </w:footnote>
  <w:footnote w:id="61">
    <w:p w14:paraId="72957162" w14:textId="2F46EA9D" w:rsidR="003230B7" w:rsidRPr="00AB3569" w:rsidRDefault="003230B7" w:rsidP="001B12C9">
      <w:pPr>
        <w:pStyle w:val="FootnoteText"/>
        <w:rPr>
          <w:lang w:val="en-US"/>
        </w:rPr>
      </w:pPr>
      <w:r w:rsidRPr="00AB3569">
        <w:rPr>
          <w:rStyle w:val="FootnoteReference"/>
        </w:rPr>
        <w:footnoteRef/>
      </w:r>
      <w:r w:rsidRPr="00AB3569">
        <w:rPr>
          <w:lang w:val="en-US"/>
        </w:rPr>
        <w:t xml:space="preserve"> See, </w:t>
      </w:r>
      <w:r w:rsidRPr="00AB3569">
        <w:rPr>
          <w:i/>
          <w:lang w:val="en-US"/>
        </w:rPr>
        <w:t>inter alia</w:t>
      </w:r>
      <w:r w:rsidRPr="00AB3569">
        <w:rPr>
          <w:lang w:val="en-US"/>
        </w:rPr>
        <w:t xml:space="preserve">, Case C-177/10, </w:t>
      </w:r>
      <w:r w:rsidRPr="00AB3569">
        <w:rPr>
          <w:i/>
          <w:lang w:val="en-US"/>
        </w:rPr>
        <w:t>Rosado Santana,</w:t>
      </w:r>
      <w:r w:rsidRPr="00AB3569">
        <w:rPr>
          <w:lang w:val="en-US"/>
        </w:rPr>
        <w:t xml:space="preserve"> EU:C:2011:557, paras 92-96 and Joined Cases C-89/10 and C-96/10</w:t>
      </w:r>
      <w:r w:rsidR="00B701C1" w:rsidRPr="00AB3569">
        <w:rPr>
          <w:lang w:val="en-US"/>
        </w:rPr>
        <w:t>,</w:t>
      </w:r>
      <w:r w:rsidRPr="00AB3569">
        <w:rPr>
          <w:lang w:val="en-US"/>
        </w:rPr>
        <w:t xml:space="preserve"> </w:t>
      </w:r>
      <w:r w:rsidRPr="00AB3569">
        <w:rPr>
          <w:i/>
          <w:lang w:val="en-US"/>
        </w:rPr>
        <w:t>Q-Beef</w:t>
      </w:r>
      <w:r w:rsidRPr="00AB3569">
        <w:rPr>
          <w:lang w:val="en-US"/>
        </w:rPr>
        <w:t xml:space="preserve">, EU:C:2011:555, paras 34-37. This has also been pointed out by Prechal and Widdershoven op.cit. </w:t>
      </w:r>
      <w:r w:rsidRPr="00AB3569">
        <w:rPr>
          <w:i/>
          <w:lang w:val="en-US"/>
        </w:rPr>
        <w:t>supra</w:t>
      </w:r>
      <w:r w:rsidR="00FA4260" w:rsidRPr="00AB3569">
        <w:rPr>
          <w:lang w:val="en-US"/>
        </w:rPr>
        <w:t xml:space="preserve"> note 58</w:t>
      </w:r>
      <w:r w:rsidRPr="00AB3569">
        <w:rPr>
          <w:lang w:val="en-US"/>
        </w:rPr>
        <w:t xml:space="preserve"> at 48. </w:t>
      </w:r>
    </w:p>
  </w:footnote>
  <w:footnote w:id="62">
    <w:p w14:paraId="6A2BC23C" w14:textId="6EC66BD7" w:rsidR="003230B7" w:rsidRPr="00AB3569" w:rsidRDefault="003230B7" w:rsidP="001B12C9">
      <w:pPr>
        <w:pStyle w:val="FootnoteText"/>
        <w:rPr>
          <w:lang w:val="en-US"/>
        </w:rPr>
      </w:pPr>
      <w:r w:rsidRPr="00AB3569">
        <w:rPr>
          <w:rStyle w:val="FootnoteReference"/>
        </w:rPr>
        <w:footnoteRef/>
      </w:r>
      <w:r w:rsidRPr="00AB3569">
        <w:rPr>
          <w:lang w:val="en-US"/>
        </w:rPr>
        <w:t xml:space="preserve"> See, inter alia, Case C-104/13 </w:t>
      </w:r>
      <w:r w:rsidRPr="00AB3569">
        <w:rPr>
          <w:i/>
          <w:lang w:val="en-US"/>
        </w:rPr>
        <w:t>Olainfarm</w:t>
      </w:r>
      <w:r w:rsidRPr="00AB3569">
        <w:rPr>
          <w:lang w:val="en-US"/>
        </w:rPr>
        <w:t xml:space="preserve"> EU:C:2014:2316, and Case C-279/09 </w:t>
      </w:r>
      <w:r w:rsidRPr="00AB3569">
        <w:rPr>
          <w:i/>
          <w:lang w:val="en-US"/>
        </w:rPr>
        <w:t>DEB</w:t>
      </w:r>
      <w:r w:rsidRPr="00AB3569">
        <w:rPr>
          <w:lang w:val="en-US"/>
        </w:rPr>
        <w:t xml:space="preserve">, EU:C:2010:811. Cf. Opinion of Advocate General Kokott in the annotated case para.49. </w:t>
      </w:r>
    </w:p>
  </w:footnote>
  <w:footnote w:id="63">
    <w:p w14:paraId="047872FE" w14:textId="28133599" w:rsidR="003230B7" w:rsidRPr="00AB3569" w:rsidRDefault="003230B7" w:rsidP="0022498B">
      <w:pPr>
        <w:pStyle w:val="FootnoteText"/>
        <w:rPr>
          <w:lang w:val="en-US"/>
        </w:rPr>
      </w:pPr>
      <w:r w:rsidRPr="00AB3569">
        <w:rPr>
          <w:rStyle w:val="FootnoteReference"/>
        </w:rPr>
        <w:footnoteRef/>
      </w:r>
      <w:r w:rsidRPr="00AB3569">
        <w:rPr>
          <w:lang w:val="en-US"/>
        </w:rPr>
        <w:t xml:space="preserve"> Joined Cases C-442/98, </w:t>
      </w:r>
      <w:r w:rsidRPr="00AB3569">
        <w:rPr>
          <w:i/>
          <w:lang w:val="en-US"/>
        </w:rPr>
        <w:t>Kapniki Michailidis,</w:t>
      </w:r>
      <w:r w:rsidRPr="00AB3569">
        <w:rPr>
          <w:lang w:val="en-US"/>
        </w:rPr>
        <w:t xml:space="preserve"> EU:C:2000:479; C-228/98, </w:t>
      </w:r>
      <w:r w:rsidRPr="00AB3569">
        <w:rPr>
          <w:i/>
          <w:lang w:val="en-US"/>
        </w:rPr>
        <w:t>Dounias,</w:t>
      </w:r>
      <w:r w:rsidRPr="00AB3569">
        <w:rPr>
          <w:lang w:val="en-US"/>
        </w:rPr>
        <w:t xml:space="preserve"> EU:C:2000:65 and C-224/02, </w:t>
      </w:r>
      <w:r w:rsidRPr="00AB3569">
        <w:rPr>
          <w:i/>
          <w:lang w:val="en-US"/>
        </w:rPr>
        <w:t>Pusa,</w:t>
      </w:r>
      <w:r w:rsidRPr="00AB3569">
        <w:rPr>
          <w:lang w:val="en-US"/>
        </w:rPr>
        <w:t xml:space="preserve"> EU:C:2004:273. </w:t>
      </w:r>
    </w:p>
  </w:footnote>
  <w:footnote w:id="64">
    <w:p w14:paraId="4092C745" w14:textId="75DA8FE5" w:rsidR="003230B7" w:rsidRPr="00AB3569" w:rsidRDefault="003230B7" w:rsidP="001B12C9">
      <w:pPr>
        <w:pStyle w:val="FootnoteText"/>
        <w:rPr>
          <w:lang w:val="en-US"/>
        </w:rPr>
      </w:pPr>
      <w:r w:rsidRPr="00AB3569">
        <w:rPr>
          <w:rStyle w:val="FootnoteReference"/>
        </w:rPr>
        <w:footnoteRef/>
      </w:r>
      <w:r w:rsidRPr="00AB3569">
        <w:rPr>
          <w:lang w:val="en-US"/>
        </w:rPr>
        <w:t xml:space="preserve"> See e.g. Case C-93/12, </w:t>
      </w:r>
      <w:r w:rsidRPr="00AB3569">
        <w:rPr>
          <w:i/>
          <w:lang w:val="en-US"/>
        </w:rPr>
        <w:t>ET Agrokonsulting</w:t>
      </w:r>
      <w:r w:rsidRPr="00AB3569">
        <w:rPr>
          <w:lang w:val="en-US"/>
        </w:rPr>
        <w:t xml:space="preserve">, EU:C:2013:432; Case C-61/14, </w:t>
      </w:r>
      <w:r w:rsidRPr="00AB3569">
        <w:rPr>
          <w:i/>
          <w:lang w:val="en-US"/>
        </w:rPr>
        <w:t>Orizzonte,</w:t>
      </w:r>
      <w:r w:rsidRPr="00AB3569">
        <w:rPr>
          <w:lang w:val="en-US"/>
        </w:rPr>
        <w:t xml:space="preserve"> EU:C:2015:655 and Case C-205/15, </w:t>
      </w:r>
      <w:r w:rsidRPr="00AB3569">
        <w:rPr>
          <w:i/>
          <w:lang w:val="en-US"/>
        </w:rPr>
        <w:t>Toma</w:t>
      </w:r>
      <w:r w:rsidRPr="00AB3569">
        <w:rPr>
          <w:lang w:val="en-US"/>
        </w:rPr>
        <w:t>, EU:C:2016:499. See further Krommendijk, op.cit</w:t>
      </w:r>
      <w:r w:rsidRPr="00AB3569">
        <w:rPr>
          <w:i/>
          <w:lang w:val="en-US"/>
        </w:rPr>
        <w:t>. supra</w:t>
      </w:r>
      <w:r w:rsidR="00FA4260" w:rsidRPr="00AB3569">
        <w:rPr>
          <w:lang w:val="en-US"/>
        </w:rPr>
        <w:t xml:space="preserve"> note 52</w:t>
      </w:r>
      <w:r w:rsidRPr="00AB3569">
        <w:rPr>
          <w:lang w:val="en-US"/>
        </w:rPr>
        <w:t xml:space="preserve"> at 1402-1403, substantiating the claim that </w:t>
      </w:r>
      <w:r w:rsidRPr="00AB3569">
        <w:rPr>
          <w:i/>
          <w:lang w:val="en-US"/>
        </w:rPr>
        <w:t>Rewe</w:t>
      </w:r>
      <w:r w:rsidRPr="00AB3569">
        <w:rPr>
          <w:lang w:val="en-US"/>
        </w:rPr>
        <w:t xml:space="preserve"> is not “dead”. </w:t>
      </w:r>
    </w:p>
  </w:footnote>
  <w:footnote w:id="65">
    <w:p w14:paraId="59F37B3B" w14:textId="314C1C56" w:rsidR="003230B7" w:rsidRPr="00AB3569" w:rsidRDefault="003230B7" w:rsidP="001B12C9">
      <w:pPr>
        <w:pStyle w:val="FootnoteText"/>
        <w:rPr>
          <w:lang w:val="en-US"/>
        </w:rPr>
      </w:pPr>
      <w:r w:rsidRPr="00AB3569">
        <w:rPr>
          <w:rStyle w:val="FootnoteReference"/>
        </w:rPr>
        <w:footnoteRef/>
      </w:r>
      <w:r w:rsidRPr="00AB3569">
        <w:rPr>
          <w:lang w:val="en-US"/>
        </w:rPr>
        <w:t xml:space="preserve"> For illustration, see Joined Cases C-317/08 to C-320/08, </w:t>
      </w:r>
      <w:r w:rsidRPr="00AB3569">
        <w:rPr>
          <w:i/>
          <w:lang w:val="en-US"/>
        </w:rPr>
        <w:t>Allasini,</w:t>
      </w:r>
      <w:r w:rsidRPr="00AB3569">
        <w:rPr>
          <w:lang w:val="en-US"/>
        </w:rPr>
        <w:t xml:space="preserve"> EU:C:2010:146. </w:t>
      </w:r>
    </w:p>
  </w:footnote>
  <w:footnote w:id="66">
    <w:p w14:paraId="6CCB661D" w14:textId="49733EBB" w:rsidR="003230B7" w:rsidRPr="00AB3569" w:rsidRDefault="003230B7">
      <w:pPr>
        <w:pStyle w:val="FootnoteText"/>
        <w:rPr>
          <w:lang w:val="en-US"/>
        </w:rPr>
      </w:pPr>
      <w:r w:rsidRPr="00AB3569">
        <w:rPr>
          <w:rStyle w:val="FootnoteReference"/>
        </w:rPr>
        <w:footnoteRef/>
      </w:r>
      <w:r w:rsidRPr="00AB3569">
        <w:rPr>
          <w:lang w:val="en-US"/>
        </w:rPr>
        <w:t xml:space="preserve"> Prechal and Widdershoven, op.cit. </w:t>
      </w:r>
      <w:r w:rsidRPr="00AB3569">
        <w:rPr>
          <w:i/>
          <w:lang w:val="en-US"/>
        </w:rPr>
        <w:t>supra</w:t>
      </w:r>
      <w:r w:rsidR="00FA4260" w:rsidRPr="00AB3569">
        <w:rPr>
          <w:lang w:val="en-US"/>
        </w:rPr>
        <w:t xml:space="preserve"> note 58</w:t>
      </w:r>
      <w:r w:rsidRPr="00AB3569">
        <w:rPr>
          <w:lang w:val="en-US"/>
        </w:rPr>
        <w:t xml:space="preserve"> at 39-43. </w:t>
      </w:r>
    </w:p>
  </w:footnote>
  <w:footnote w:id="67">
    <w:p w14:paraId="52196503" w14:textId="1DCCDCF3" w:rsidR="003230B7" w:rsidRPr="00AB3569" w:rsidRDefault="003230B7" w:rsidP="001B12C9">
      <w:pPr>
        <w:pStyle w:val="FootnoteText"/>
        <w:rPr>
          <w:lang w:val="en-US"/>
        </w:rPr>
      </w:pPr>
      <w:r w:rsidRPr="00AB3569">
        <w:rPr>
          <w:rStyle w:val="FootnoteReference"/>
        </w:rPr>
        <w:footnoteRef/>
      </w:r>
      <w:r w:rsidRPr="00AB3569">
        <w:rPr>
          <w:lang w:val="en-US"/>
        </w:rPr>
        <w:t xml:space="preserve"> Prechal and Widdershoven op.cit. </w:t>
      </w:r>
      <w:r w:rsidRPr="00AB3569">
        <w:rPr>
          <w:i/>
          <w:lang w:val="en-US"/>
        </w:rPr>
        <w:t>supra</w:t>
      </w:r>
      <w:r w:rsidR="00FA4260" w:rsidRPr="00AB3569">
        <w:rPr>
          <w:lang w:val="en-US"/>
        </w:rPr>
        <w:t xml:space="preserve"> note 58</w:t>
      </w:r>
      <w:r w:rsidRPr="00AB3569">
        <w:rPr>
          <w:lang w:val="en-US"/>
        </w:rPr>
        <w:t xml:space="preserve"> at 46 an</w:t>
      </w:r>
      <w:r w:rsidR="00BE5EF5" w:rsidRPr="00AB3569">
        <w:rPr>
          <w:lang w:val="en-US"/>
        </w:rPr>
        <w:t>d Krommendijk, op</w:t>
      </w:r>
      <w:r w:rsidRPr="00AB3569">
        <w:rPr>
          <w:lang w:val="en-US"/>
        </w:rPr>
        <w:t xml:space="preserve">.cit. </w:t>
      </w:r>
      <w:r w:rsidRPr="00AB3569">
        <w:rPr>
          <w:i/>
          <w:lang w:val="en-US"/>
        </w:rPr>
        <w:t>supra</w:t>
      </w:r>
      <w:r w:rsidR="00FA4260" w:rsidRPr="00AB3569">
        <w:rPr>
          <w:lang w:val="en-US"/>
        </w:rPr>
        <w:t xml:space="preserve"> note 52</w:t>
      </w:r>
      <w:r w:rsidRPr="00AB3569">
        <w:rPr>
          <w:lang w:val="en-US"/>
        </w:rPr>
        <w:t xml:space="preserve"> at 1405. </w:t>
      </w:r>
    </w:p>
  </w:footnote>
  <w:footnote w:id="68">
    <w:p w14:paraId="3345154F" w14:textId="323F7AFC" w:rsidR="003230B7" w:rsidRPr="00AB3569" w:rsidRDefault="003230B7">
      <w:pPr>
        <w:pStyle w:val="FootnoteText"/>
        <w:rPr>
          <w:lang w:val="en-US"/>
        </w:rPr>
      </w:pPr>
      <w:r w:rsidRPr="00AB3569">
        <w:rPr>
          <w:rStyle w:val="FootnoteReference"/>
        </w:rPr>
        <w:footnoteRef/>
      </w:r>
      <w:r w:rsidRPr="00AB3569">
        <w:rPr>
          <w:lang w:val="en-US"/>
        </w:rPr>
        <w:t xml:space="preserve"> Lenaerts, Maselis and Gutman, </w:t>
      </w:r>
      <w:r w:rsidRPr="00AB3569">
        <w:rPr>
          <w:i/>
          <w:lang w:val="en-US"/>
        </w:rPr>
        <w:t>EU Procedural Law</w:t>
      </w:r>
      <w:r w:rsidRPr="00AB3569">
        <w:rPr>
          <w:lang w:val="en-US"/>
        </w:rPr>
        <w:t xml:space="preserve"> (OUP, 2014) p. 110</w:t>
      </w:r>
    </w:p>
  </w:footnote>
  <w:footnote w:id="69">
    <w:p w14:paraId="6D417AF4" w14:textId="0DCB73F5" w:rsidR="00374FC4" w:rsidRPr="00AB3569" w:rsidRDefault="00374FC4">
      <w:pPr>
        <w:pStyle w:val="FootnoteText"/>
        <w:rPr>
          <w:lang w:val="en-US"/>
        </w:rPr>
      </w:pPr>
      <w:r w:rsidRPr="00AB3569">
        <w:rPr>
          <w:rStyle w:val="FootnoteReference"/>
        </w:rPr>
        <w:footnoteRef/>
      </w:r>
      <w:r w:rsidRPr="00AB3569">
        <w:rPr>
          <w:lang w:val="en-US"/>
        </w:rPr>
        <w:t xml:space="preserve"> </w:t>
      </w:r>
      <w:r w:rsidR="00BE06F7" w:rsidRPr="00AB3569">
        <w:rPr>
          <w:lang w:val="en-US"/>
        </w:rPr>
        <w:t xml:space="preserve">Wilman, </w:t>
      </w:r>
      <w:r w:rsidR="00BE06F7" w:rsidRPr="00AB3569">
        <w:rPr>
          <w:i/>
          <w:lang w:val="en-US"/>
        </w:rPr>
        <w:t>Private Enforcement of EU Law Before National Courts: The EU Legislative Framework</w:t>
      </w:r>
      <w:r w:rsidR="00BE06F7" w:rsidRPr="00AB3569">
        <w:rPr>
          <w:lang w:val="en-US"/>
        </w:rPr>
        <w:t xml:space="preserve"> (Edward Elgar, 2015) p. </w:t>
      </w:r>
      <w:r w:rsidRPr="00AB3569">
        <w:rPr>
          <w:lang w:val="en-US"/>
        </w:rPr>
        <w:t>457-458.</w:t>
      </w:r>
    </w:p>
  </w:footnote>
  <w:footnote w:id="70">
    <w:p w14:paraId="7C4F3CC8" w14:textId="762410BA" w:rsidR="003230B7" w:rsidRPr="00AB3569" w:rsidRDefault="003230B7" w:rsidP="00B96B1B">
      <w:pPr>
        <w:pStyle w:val="FootnoteText"/>
        <w:rPr>
          <w:lang w:val="en-US"/>
        </w:rPr>
      </w:pPr>
      <w:r w:rsidRPr="00AB3569">
        <w:rPr>
          <w:rStyle w:val="FootnoteReference"/>
        </w:rPr>
        <w:footnoteRef/>
      </w:r>
      <w:r w:rsidRPr="00AB3569">
        <w:rPr>
          <w:lang w:val="en-US"/>
        </w:rPr>
        <w:t xml:space="preserve"> See, </w:t>
      </w:r>
      <w:r w:rsidRPr="00AB3569">
        <w:rPr>
          <w:i/>
          <w:lang w:val="en-US"/>
        </w:rPr>
        <w:t>inter alia</w:t>
      </w:r>
      <w:r w:rsidRPr="00AB3569">
        <w:rPr>
          <w:lang w:val="en-US"/>
        </w:rPr>
        <w:t xml:space="preserve">, Case C-74/14, </w:t>
      </w:r>
      <w:r w:rsidRPr="00AB3569">
        <w:rPr>
          <w:i/>
          <w:lang w:val="en-US"/>
        </w:rPr>
        <w:t>Eturas</w:t>
      </w:r>
      <w:r w:rsidRPr="00AB3569">
        <w:rPr>
          <w:lang w:val="en-US"/>
        </w:rPr>
        <w:t xml:space="preserve">, EU:C:2016:42, paras 34-35 (evidence and standard of proof in competition law proceedings) and Case C-24/95, </w:t>
      </w:r>
      <w:r w:rsidRPr="00AB3569">
        <w:rPr>
          <w:i/>
          <w:lang w:val="en-US"/>
        </w:rPr>
        <w:t>Alcan,</w:t>
      </w:r>
      <w:r w:rsidRPr="00AB3569">
        <w:rPr>
          <w:lang w:val="en-US"/>
        </w:rPr>
        <w:t xml:space="preserve"> EU:C:1997:163, para. 24 (recovery of unlawfully received funds). </w:t>
      </w:r>
    </w:p>
  </w:footnote>
  <w:footnote w:id="71">
    <w:p w14:paraId="06DBB0A2" w14:textId="54C6EB1D" w:rsidR="003230B7" w:rsidRPr="00AB3569" w:rsidRDefault="003230B7" w:rsidP="001B12C9">
      <w:pPr>
        <w:pStyle w:val="FootnoteText"/>
        <w:rPr>
          <w:lang w:val="en-US"/>
        </w:rPr>
      </w:pPr>
      <w:r w:rsidRPr="00AB3569">
        <w:rPr>
          <w:rStyle w:val="FootnoteReference"/>
        </w:rPr>
        <w:footnoteRef/>
      </w:r>
      <w:r w:rsidRPr="00AB3569">
        <w:rPr>
          <w:lang w:val="en-US"/>
        </w:rPr>
        <w:t xml:space="preserve"> Case 222/84, </w:t>
      </w:r>
      <w:r w:rsidRPr="00AB3569">
        <w:rPr>
          <w:i/>
          <w:lang w:val="en-US"/>
        </w:rPr>
        <w:t>Johnston,</w:t>
      </w:r>
      <w:r w:rsidRPr="00AB3569">
        <w:rPr>
          <w:lang w:val="en-US"/>
        </w:rPr>
        <w:t xml:space="preserve"> EU:C:1986:206, para. 18 and Case 222/86, </w:t>
      </w:r>
      <w:r w:rsidRPr="00AB3569">
        <w:rPr>
          <w:i/>
          <w:lang w:val="en-US"/>
        </w:rPr>
        <w:t>Heylens,</w:t>
      </w:r>
      <w:r w:rsidRPr="00AB3569">
        <w:rPr>
          <w:lang w:val="en-US"/>
        </w:rPr>
        <w:t xml:space="preserve"> EU:C:1987:442, para. 14. </w:t>
      </w:r>
    </w:p>
  </w:footnote>
  <w:footnote w:id="72">
    <w:p w14:paraId="3513E096" w14:textId="6FC493A3" w:rsidR="003230B7" w:rsidRPr="00AB3569" w:rsidRDefault="003230B7" w:rsidP="00C85012">
      <w:pPr>
        <w:pStyle w:val="FootnoteText"/>
        <w:rPr>
          <w:lang w:val="en-US"/>
        </w:rPr>
      </w:pPr>
      <w:r w:rsidRPr="00AB3569">
        <w:rPr>
          <w:rStyle w:val="FootnoteReference"/>
        </w:rPr>
        <w:footnoteRef/>
      </w:r>
      <w:r w:rsidRPr="00AB3569">
        <w:rPr>
          <w:lang w:val="en-US"/>
        </w:rPr>
        <w:t xml:space="preserve"> K</w:t>
      </w:r>
      <w:r w:rsidR="00FA4260" w:rsidRPr="00AB3569">
        <w:rPr>
          <w:lang w:val="en-US"/>
        </w:rPr>
        <w:t>rommendijk, op.cit. supra note 52</w:t>
      </w:r>
      <w:r w:rsidRPr="00AB3569">
        <w:rPr>
          <w:lang w:val="en-US"/>
        </w:rPr>
        <w:t xml:space="preserve"> at 1408.</w:t>
      </w:r>
    </w:p>
  </w:footnote>
  <w:footnote w:id="73">
    <w:p w14:paraId="569BBB00" w14:textId="0E18EAE1" w:rsidR="003230B7" w:rsidRPr="00AB3569" w:rsidRDefault="003230B7" w:rsidP="001B12C9">
      <w:pPr>
        <w:pStyle w:val="FootnoteText"/>
        <w:rPr>
          <w:lang w:val="en-US"/>
        </w:rPr>
      </w:pPr>
      <w:r w:rsidRPr="00AB3569">
        <w:rPr>
          <w:rStyle w:val="FootnoteReference"/>
        </w:rPr>
        <w:footnoteRef/>
      </w:r>
      <w:r w:rsidRPr="00AB3569">
        <w:rPr>
          <w:lang w:val="en-US"/>
        </w:rPr>
        <w:t xml:space="preserve"> </w:t>
      </w:r>
      <w:r w:rsidR="00C85A77" w:rsidRPr="00AB3569">
        <w:rPr>
          <w:lang w:val="en-US"/>
        </w:rPr>
        <w:t xml:space="preserve">Van Cleynenbreugel, </w:t>
      </w:r>
      <w:r w:rsidR="00C757BE" w:rsidRPr="00AB3569">
        <w:rPr>
          <w:lang w:val="en-US"/>
        </w:rPr>
        <w:t>“</w:t>
      </w:r>
      <w:r w:rsidRPr="00AB3569">
        <w:rPr>
          <w:lang w:val="en-US"/>
        </w:rPr>
        <w:t>The Confusing Constitutional Status of Positive P</w:t>
      </w:r>
      <w:r w:rsidR="00C85A77" w:rsidRPr="00AB3569">
        <w:rPr>
          <w:lang w:val="en-US"/>
        </w:rPr>
        <w:t>rocedural Obligations in EU Law</w:t>
      </w:r>
      <w:r w:rsidR="00C757BE" w:rsidRPr="00AB3569">
        <w:rPr>
          <w:lang w:val="en-US"/>
        </w:rPr>
        <w:t>”</w:t>
      </w:r>
      <w:r w:rsidR="00C85A77" w:rsidRPr="00AB3569">
        <w:rPr>
          <w:lang w:val="en-US"/>
        </w:rPr>
        <w:t xml:space="preserve"> 5 REALaw (2012) 81-100</w:t>
      </w:r>
      <w:r w:rsidRPr="00AB3569">
        <w:rPr>
          <w:lang w:val="en-US"/>
        </w:rPr>
        <w:t xml:space="preserve"> at 89-91. Prechal and Widdershoven op.cit. </w:t>
      </w:r>
      <w:r w:rsidRPr="00AB3569">
        <w:rPr>
          <w:i/>
          <w:lang w:val="en-US"/>
        </w:rPr>
        <w:t>supra</w:t>
      </w:r>
      <w:r w:rsidR="00FA4260" w:rsidRPr="00AB3569">
        <w:rPr>
          <w:lang w:val="en-US"/>
        </w:rPr>
        <w:t xml:space="preserve"> note 58</w:t>
      </w:r>
      <w:r w:rsidRPr="00AB3569">
        <w:rPr>
          <w:lang w:val="en-US"/>
        </w:rPr>
        <w:t xml:space="preserve">, 41-42. The most well-known example of a such a positive obligation is the Member States’ liability for infringements of EU law pursuant to the Francovich doctrine, cf. Joined Cases C-6/90 and C-9/90 </w:t>
      </w:r>
      <w:r w:rsidRPr="00AB3569">
        <w:rPr>
          <w:i/>
          <w:lang w:val="en-US"/>
        </w:rPr>
        <w:t>Francovich</w:t>
      </w:r>
      <w:r w:rsidR="00C757BE" w:rsidRPr="00AB3569">
        <w:rPr>
          <w:lang w:val="en-US"/>
        </w:rPr>
        <w:t>,</w:t>
      </w:r>
      <w:r w:rsidRPr="00AB3569">
        <w:rPr>
          <w:lang w:val="en-US"/>
        </w:rPr>
        <w:t xml:space="preserve"> </w:t>
      </w:r>
      <w:r w:rsidR="00C757BE" w:rsidRPr="00AB3569">
        <w:rPr>
          <w:lang w:val="en-US"/>
        </w:rPr>
        <w:t>EU:C:1991:428</w:t>
      </w:r>
    </w:p>
  </w:footnote>
  <w:footnote w:id="74">
    <w:p w14:paraId="2F61C70B" w14:textId="70DCDFB8" w:rsidR="003230B7" w:rsidRPr="00AB3569" w:rsidRDefault="003230B7" w:rsidP="001B12C9">
      <w:pPr>
        <w:pStyle w:val="FootnoteText"/>
        <w:rPr>
          <w:lang w:val="en-US"/>
        </w:rPr>
      </w:pPr>
      <w:r w:rsidRPr="00AB3569">
        <w:rPr>
          <w:rStyle w:val="FootnoteReference"/>
        </w:rPr>
        <w:footnoteRef/>
      </w:r>
      <w:r w:rsidRPr="00AB3569">
        <w:rPr>
          <w:lang w:val="en-US"/>
        </w:rPr>
        <w:t xml:space="preserve"> See also Case C-69/10, </w:t>
      </w:r>
      <w:r w:rsidRPr="00AB3569">
        <w:rPr>
          <w:i/>
          <w:lang w:val="en-US"/>
        </w:rPr>
        <w:t>Samba Diouf,</w:t>
      </w:r>
      <w:r w:rsidRPr="00AB3569">
        <w:rPr>
          <w:lang w:val="en-US"/>
        </w:rPr>
        <w:t xml:space="preserve"> EU:C:2011:524, para. 49 and Case C-93/12, </w:t>
      </w:r>
      <w:r w:rsidRPr="00AB3569">
        <w:rPr>
          <w:i/>
          <w:lang w:val="en-US"/>
        </w:rPr>
        <w:t>ET Agroconsulting,</w:t>
      </w:r>
      <w:r w:rsidRPr="00AB3569">
        <w:rPr>
          <w:lang w:val="en-US"/>
        </w:rPr>
        <w:t xml:space="preserve"> EU:C:2013:432, para. 59. </w:t>
      </w:r>
    </w:p>
  </w:footnote>
  <w:footnote w:id="75">
    <w:p w14:paraId="551DB4E1" w14:textId="38430A86" w:rsidR="003230B7" w:rsidRPr="00AB3569" w:rsidRDefault="003230B7" w:rsidP="001B12C9">
      <w:pPr>
        <w:pStyle w:val="FootnoteText"/>
        <w:rPr>
          <w:lang w:val="en-US"/>
        </w:rPr>
      </w:pPr>
      <w:r w:rsidRPr="00AB3569">
        <w:rPr>
          <w:rStyle w:val="FootnoteReference"/>
        </w:rPr>
        <w:footnoteRef/>
      </w:r>
      <w:r w:rsidRPr="00AB3569">
        <w:rPr>
          <w:lang w:val="en-US"/>
        </w:rPr>
        <w:t xml:space="preserve"> Case 222/84, </w:t>
      </w:r>
      <w:r w:rsidRPr="00AB3569">
        <w:rPr>
          <w:i/>
          <w:lang w:val="en-US"/>
        </w:rPr>
        <w:t>Johnston,</w:t>
      </w:r>
      <w:r w:rsidRPr="00AB3569">
        <w:rPr>
          <w:lang w:val="en-US"/>
        </w:rPr>
        <w:t xml:space="preserve"> EU:C:1986:206 and Case 222/86 </w:t>
      </w:r>
      <w:r w:rsidRPr="00AB3569">
        <w:rPr>
          <w:i/>
          <w:lang w:val="en-US"/>
        </w:rPr>
        <w:t xml:space="preserve">Heylens </w:t>
      </w:r>
      <w:r w:rsidRPr="00AB3569">
        <w:rPr>
          <w:lang w:val="en-US"/>
        </w:rPr>
        <w:t>EU:C:1987:442.</w:t>
      </w:r>
    </w:p>
  </w:footnote>
  <w:footnote w:id="76">
    <w:p w14:paraId="6FB10B4E" w14:textId="47C6C818" w:rsidR="003230B7" w:rsidRPr="00AB3569" w:rsidRDefault="003230B7" w:rsidP="001B12C9">
      <w:pPr>
        <w:pStyle w:val="FootnoteText"/>
        <w:rPr>
          <w:lang w:val="en-US"/>
        </w:rPr>
      </w:pPr>
      <w:r w:rsidRPr="00AB3569">
        <w:rPr>
          <w:rStyle w:val="FootnoteReference"/>
        </w:rPr>
        <w:footnoteRef/>
      </w:r>
      <w:r w:rsidRPr="00AB3569">
        <w:rPr>
          <w:lang w:val="en-US"/>
        </w:rPr>
        <w:t xml:space="preserve"> See, for example, Case C-562/12, </w:t>
      </w:r>
      <w:r w:rsidRPr="00AB3569">
        <w:rPr>
          <w:i/>
          <w:lang w:val="en-US"/>
        </w:rPr>
        <w:t>Liivimaa Lihaveis,</w:t>
      </w:r>
      <w:r w:rsidRPr="00AB3569">
        <w:rPr>
          <w:lang w:val="en-US"/>
        </w:rPr>
        <w:t xml:space="preserve"> EU:C:2014:2229, where the Court draws directly on Case C-97/91, </w:t>
      </w:r>
      <w:r w:rsidRPr="00AB3569">
        <w:rPr>
          <w:i/>
          <w:lang w:val="en-US"/>
        </w:rPr>
        <w:t>Borelli,</w:t>
      </w:r>
      <w:r w:rsidRPr="00AB3569">
        <w:rPr>
          <w:lang w:val="en-US"/>
        </w:rPr>
        <w:t xml:space="preserve"> EU:C:1992:491 and Case C-269/99, </w:t>
      </w:r>
      <w:r w:rsidRPr="00AB3569">
        <w:rPr>
          <w:i/>
          <w:lang w:val="en-US"/>
        </w:rPr>
        <w:t xml:space="preserve">Kühne, </w:t>
      </w:r>
      <w:r w:rsidRPr="00AB3569">
        <w:rPr>
          <w:lang w:val="en-US"/>
        </w:rPr>
        <w:t xml:space="preserve">EU:C:2001:659. </w:t>
      </w:r>
    </w:p>
  </w:footnote>
  <w:footnote w:id="77">
    <w:p w14:paraId="760B9AEE" w14:textId="271BAA1A" w:rsidR="003230B7" w:rsidRPr="00AB3569" w:rsidRDefault="003230B7" w:rsidP="001B12C9">
      <w:pPr>
        <w:pStyle w:val="FootnoteText"/>
        <w:rPr>
          <w:lang w:val="en-US"/>
        </w:rPr>
      </w:pPr>
      <w:r w:rsidRPr="00AB3569">
        <w:rPr>
          <w:rStyle w:val="FootnoteReference"/>
        </w:rPr>
        <w:footnoteRef/>
      </w:r>
      <w:r w:rsidRPr="00AB3569">
        <w:rPr>
          <w:lang w:val="en-US"/>
        </w:rPr>
        <w:t xml:space="preserve"> Similarly Strand, who states that “the inclusion of the right of access to court in Article 47 and the introduction of the Article 52(1) test must be seen as advances in the protection of the right of access to court.”, cf. Strand, </w:t>
      </w:r>
      <w:r w:rsidRPr="00AB3569">
        <w:rPr>
          <w:i/>
          <w:lang w:val="en-US"/>
        </w:rPr>
        <w:t>The Passing-On Problem in Damages and Restitution under EU Law</w:t>
      </w:r>
      <w:r w:rsidRPr="00AB3569">
        <w:rPr>
          <w:lang w:val="en-US"/>
        </w:rPr>
        <w:t xml:space="preserve"> (Edward Elgar, 2017) p. 49. </w:t>
      </w:r>
    </w:p>
  </w:footnote>
  <w:footnote w:id="78">
    <w:p w14:paraId="3643965F" w14:textId="601090AB" w:rsidR="003230B7" w:rsidRPr="00AB3569" w:rsidRDefault="003230B7" w:rsidP="001B12C9">
      <w:pPr>
        <w:pStyle w:val="FootnoteText"/>
        <w:rPr>
          <w:lang w:val="en-US"/>
        </w:rPr>
      </w:pPr>
      <w:r w:rsidRPr="00AB3569">
        <w:rPr>
          <w:rStyle w:val="FootnoteReference"/>
        </w:rPr>
        <w:footnoteRef/>
      </w:r>
      <w:r w:rsidRPr="00AB3569">
        <w:rPr>
          <w:lang w:val="en-US"/>
        </w:rPr>
        <w:t xml:space="preserve"> Prechal, “The Court of Justice and Effective Judicial Protection: What has the Charter Changed?”, in Paulussen, Takács, Lazić and Van Rompuy (eds) </w:t>
      </w:r>
      <w:r w:rsidRPr="00AB3569">
        <w:rPr>
          <w:i/>
          <w:lang w:val="en-US"/>
        </w:rPr>
        <w:t>Fundamental Rights in International and European law: Public and Private law Perspectives</w:t>
      </w:r>
      <w:r w:rsidRPr="00AB3569">
        <w:rPr>
          <w:lang w:val="en-US"/>
        </w:rPr>
        <w:t xml:space="preserve"> (Springer, 2016), p. 156 </w:t>
      </w:r>
    </w:p>
  </w:footnote>
  <w:footnote w:id="79">
    <w:p w14:paraId="59EC825E" w14:textId="031DEB57" w:rsidR="003230B7" w:rsidRPr="00AB3569" w:rsidRDefault="003230B7">
      <w:pPr>
        <w:pStyle w:val="FootnoteText"/>
        <w:rPr>
          <w:lang w:val="en-US"/>
        </w:rPr>
      </w:pPr>
      <w:r w:rsidRPr="00AB3569">
        <w:rPr>
          <w:rStyle w:val="FootnoteReference"/>
        </w:rPr>
        <w:footnoteRef/>
      </w:r>
      <w:r w:rsidRPr="00AB3569">
        <w:rPr>
          <w:lang w:val="de-DE"/>
        </w:rPr>
        <w:t xml:space="preserve"> Case C</w:t>
      </w:r>
      <w:r w:rsidRPr="00AB3569">
        <w:rPr>
          <w:rFonts w:ascii="MS Gothic" w:eastAsia="MS Gothic" w:hAnsi="MS Gothic" w:cs="MS Gothic" w:hint="eastAsia"/>
          <w:lang w:val="de-DE"/>
        </w:rPr>
        <w:t>‑</w:t>
      </w:r>
      <w:r w:rsidRPr="00AB3569">
        <w:rPr>
          <w:lang w:val="de-DE"/>
        </w:rPr>
        <w:t xml:space="preserve">414/16, </w:t>
      </w:r>
      <w:r w:rsidRPr="00AB3569">
        <w:rPr>
          <w:i/>
          <w:lang w:val="de-DE"/>
        </w:rPr>
        <w:t>Egenberger</w:t>
      </w:r>
      <w:r w:rsidRPr="00AB3569">
        <w:rPr>
          <w:lang w:val="de-DE"/>
        </w:rPr>
        <w:t xml:space="preserve">, EU:C:2018:257, para. </w:t>
      </w:r>
      <w:r w:rsidRPr="00AB3569">
        <w:rPr>
          <w:lang w:val="en-US"/>
        </w:rPr>
        <w:t xml:space="preserve">78. </w:t>
      </w:r>
    </w:p>
  </w:footnote>
  <w:footnote w:id="80">
    <w:p w14:paraId="61523167" w14:textId="3F2C0130" w:rsidR="003230B7" w:rsidRPr="00AB3569" w:rsidRDefault="003230B7" w:rsidP="001B12C9">
      <w:pPr>
        <w:pStyle w:val="FootnoteText"/>
        <w:rPr>
          <w:lang w:val="en-US"/>
        </w:rPr>
      </w:pPr>
      <w:r w:rsidRPr="00AB3569">
        <w:rPr>
          <w:rStyle w:val="FootnoteReference"/>
        </w:rPr>
        <w:footnoteRef/>
      </w:r>
      <w:r w:rsidRPr="00AB3569">
        <w:rPr>
          <w:lang w:val="en-US"/>
        </w:rPr>
        <w:t xml:space="preserve"> It follows from the Explanations Relating to the Charter of Fundamental Rights, O.J. 2007, C 303/17, 32, that Article 52(1) corresponds in essence to the Court’s earlier jurisprudence, see for example Case C-292/97, </w:t>
      </w:r>
      <w:r w:rsidRPr="00AB3569">
        <w:rPr>
          <w:i/>
          <w:lang w:val="en-US"/>
        </w:rPr>
        <w:t>Karlsson</w:t>
      </w:r>
      <w:r w:rsidRPr="00AB3569">
        <w:rPr>
          <w:lang w:val="en-US"/>
        </w:rPr>
        <w:t xml:space="preserve">, EU:C:2000:202, para. 45. In recent case law, the Court examines the compliance with each requirement individually, paying attention to the different elements of the test, see </w:t>
      </w:r>
      <w:r w:rsidRPr="00AB3569">
        <w:rPr>
          <w:i/>
          <w:lang w:val="en-US"/>
        </w:rPr>
        <w:t>inter alia</w:t>
      </w:r>
      <w:r w:rsidRPr="00AB3569">
        <w:rPr>
          <w:lang w:val="en-US"/>
        </w:rPr>
        <w:t xml:space="preserve"> joined cases C-317/08 to C-320/08, </w:t>
      </w:r>
      <w:r w:rsidRPr="00AB3569">
        <w:rPr>
          <w:i/>
          <w:lang w:val="en-US"/>
        </w:rPr>
        <w:t>Allasini</w:t>
      </w:r>
      <w:r w:rsidRPr="00AB3569">
        <w:rPr>
          <w:lang w:val="en-US"/>
        </w:rPr>
        <w:t xml:space="preserve">, EU:C:2010:146, paras 64-65, Joined Cases C-439/14 and C-488/14, </w:t>
      </w:r>
      <w:r w:rsidRPr="00AB3569">
        <w:rPr>
          <w:i/>
          <w:lang w:val="en-US"/>
        </w:rPr>
        <w:t>Star Storage,</w:t>
      </w:r>
      <w:r w:rsidRPr="00AB3569">
        <w:rPr>
          <w:lang w:val="en-US"/>
        </w:rPr>
        <w:t xml:space="preserve"> EU:C:2016:688, paras 49-61 and now Case C-73/16, </w:t>
      </w:r>
      <w:r w:rsidRPr="00AB3569">
        <w:rPr>
          <w:i/>
          <w:lang w:val="en-US"/>
        </w:rPr>
        <w:t>Puškár,</w:t>
      </w:r>
      <w:r w:rsidRPr="00AB3569">
        <w:rPr>
          <w:lang w:val="en-US"/>
        </w:rPr>
        <w:t xml:space="preserve"> EU:C:2017:725, paras 63-75.</w:t>
      </w:r>
    </w:p>
  </w:footnote>
  <w:footnote w:id="81">
    <w:p w14:paraId="293E33C8" w14:textId="71884199" w:rsidR="003230B7" w:rsidRPr="00AB3569" w:rsidRDefault="003230B7" w:rsidP="001B12C9">
      <w:pPr>
        <w:pStyle w:val="FootnoteText"/>
        <w:rPr>
          <w:lang w:val="en-US"/>
        </w:rPr>
      </w:pPr>
      <w:r w:rsidRPr="00AB3569">
        <w:rPr>
          <w:rStyle w:val="FootnoteReference"/>
        </w:rPr>
        <w:footnoteRef/>
      </w:r>
      <w:r w:rsidRPr="00AB3569">
        <w:rPr>
          <w:lang w:val="es-ES"/>
        </w:rPr>
        <w:t xml:space="preserve"> Prechal, op.cit. </w:t>
      </w:r>
      <w:r w:rsidRPr="00AB3569">
        <w:rPr>
          <w:i/>
          <w:lang w:val="es-ES"/>
        </w:rPr>
        <w:t>supra</w:t>
      </w:r>
      <w:r w:rsidR="00FA4260" w:rsidRPr="00AB3569">
        <w:rPr>
          <w:lang w:val="es-ES"/>
        </w:rPr>
        <w:t xml:space="preserve"> note 78 p</w:t>
      </w:r>
      <w:r w:rsidRPr="00AB3569">
        <w:rPr>
          <w:lang w:val="es-ES"/>
        </w:rPr>
        <w:t xml:space="preserve">. 154. </w:t>
      </w:r>
      <w:r w:rsidRPr="00AB3569">
        <w:rPr>
          <w:lang w:val="en-US"/>
        </w:rPr>
        <w:t>What this “essence” consists of will be addressed in the following.</w:t>
      </w:r>
    </w:p>
  </w:footnote>
  <w:footnote w:id="82">
    <w:p w14:paraId="525540B1" w14:textId="5333A4BF" w:rsidR="003230B7" w:rsidRPr="00AB3569" w:rsidRDefault="003230B7" w:rsidP="001B12C9">
      <w:pPr>
        <w:pStyle w:val="FootnoteText"/>
        <w:rPr>
          <w:lang w:val="en-US"/>
        </w:rPr>
      </w:pPr>
      <w:r w:rsidRPr="00AB3569">
        <w:rPr>
          <w:rStyle w:val="FootnoteReference"/>
        </w:rPr>
        <w:footnoteRef/>
      </w:r>
      <w:r w:rsidRPr="00AB3569">
        <w:rPr>
          <w:lang w:val="en-US"/>
        </w:rPr>
        <w:t xml:space="preserve"> </w:t>
      </w:r>
      <w:r w:rsidR="00B701C1" w:rsidRPr="00AB3569">
        <w:rPr>
          <w:lang w:val="en-US"/>
        </w:rPr>
        <w:t>Drake, “</w:t>
      </w:r>
      <w:r w:rsidRPr="00AB3569">
        <w:rPr>
          <w:lang w:val="en-US"/>
        </w:rPr>
        <w:t xml:space="preserve">More Effective Private Enforcement of EU Law Post-Lisbon: Aligning Regulatory </w:t>
      </w:r>
      <w:r w:rsidR="00B701C1" w:rsidRPr="00AB3569">
        <w:rPr>
          <w:lang w:val="en-US"/>
        </w:rPr>
        <w:t>Goals and Constitutional Values”</w:t>
      </w:r>
      <w:r w:rsidRPr="00AB3569">
        <w:rPr>
          <w:lang w:val="en-US"/>
        </w:rPr>
        <w:t xml:space="preserve"> in Drake and Smith (eds.), </w:t>
      </w:r>
      <w:r w:rsidRPr="00AB3569">
        <w:rPr>
          <w:i/>
          <w:lang w:val="en-US"/>
        </w:rPr>
        <w:t>New Directions in the Effective Enforcement of EU Law and Policy</w:t>
      </w:r>
      <w:r w:rsidRPr="00AB3569">
        <w:rPr>
          <w:lang w:val="en-US"/>
        </w:rPr>
        <w:t xml:space="preserve"> (Edward Elgar 2016) 35. Along the same lines, </w:t>
      </w:r>
      <w:r w:rsidR="00B701C1" w:rsidRPr="00AB3569">
        <w:rPr>
          <w:lang w:val="en-US"/>
        </w:rPr>
        <w:t>Mak, “</w:t>
      </w:r>
      <w:r w:rsidRPr="00AB3569">
        <w:rPr>
          <w:lang w:val="en-US"/>
        </w:rPr>
        <w:t xml:space="preserve">Rights and Remedies: Article 47 EUCFR and Effective Judicial Protection </w:t>
      </w:r>
      <w:r w:rsidR="00B701C1" w:rsidRPr="00AB3569">
        <w:rPr>
          <w:lang w:val="en-US"/>
        </w:rPr>
        <w:t>in European Private Law Matters”</w:t>
      </w:r>
      <w:r w:rsidRPr="00AB3569">
        <w:rPr>
          <w:lang w:val="en-US"/>
        </w:rPr>
        <w:t xml:space="preserve"> in Micklitz (ed.), </w:t>
      </w:r>
      <w:r w:rsidRPr="00AB3569">
        <w:rPr>
          <w:i/>
          <w:lang w:val="en-US"/>
        </w:rPr>
        <w:t>Constitutionalization of European Private Law</w:t>
      </w:r>
      <w:r w:rsidRPr="00AB3569">
        <w:rPr>
          <w:lang w:val="en-US"/>
        </w:rPr>
        <w:t xml:space="preserve"> (OUP 2014) p. 251. </w:t>
      </w:r>
    </w:p>
  </w:footnote>
  <w:footnote w:id="83">
    <w:p w14:paraId="2B9FB99E" w14:textId="30305B65" w:rsidR="003230B7" w:rsidRPr="00AB3569" w:rsidRDefault="003230B7" w:rsidP="001B12C9">
      <w:pPr>
        <w:pStyle w:val="FootnoteText"/>
        <w:rPr>
          <w:lang w:val="en-US"/>
        </w:rPr>
      </w:pPr>
      <w:r w:rsidRPr="00AB3569">
        <w:rPr>
          <w:rStyle w:val="FootnoteReference"/>
        </w:rPr>
        <w:footnoteRef/>
      </w:r>
      <w:r w:rsidRPr="00AB3569">
        <w:rPr>
          <w:lang w:val="en-US"/>
        </w:rPr>
        <w:t xml:space="preserve"> See, </w:t>
      </w:r>
      <w:r w:rsidRPr="00AB3569">
        <w:rPr>
          <w:i/>
          <w:lang w:val="en-US"/>
        </w:rPr>
        <w:t>inter alia</w:t>
      </w:r>
      <w:r w:rsidR="00B701C1" w:rsidRPr="00AB3569">
        <w:rPr>
          <w:lang w:val="en-US"/>
        </w:rPr>
        <w:t>, Widdershoven, “</w:t>
      </w:r>
      <w:r w:rsidRPr="00AB3569">
        <w:rPr>
          <w:lang w:val="en-US"/>
        </w:rPr>
        <w:t>The Principle of Loyal Cooperation: Lawmaking by the European Court of Justice and the Dutch Courts</w:t>
      </w:r>
      <w:r w:rsidR="00B701C1" w:rsidRPr="00AB3569">
        <w:rPr>
          <w:lang w:val="en-US"/>
        </w:rPr>
        <w:t>”</w:t>
      </w:r>
      <w:r w:rsidRPr="00AB3569">
        <w:rPr>
          <w:lang w:val="en-US"/>
        </w:rPr>
        <w:t xml:space="preserve"> in Stroink and Linden (eds.), </w:t>
      </w:r>
      <w:r w:rsidRPr="00AB3569">
        <w:rPr>
          <w:i/>
          <w:lang w:val="en-US"/>
        </w:rPr>
        <w:t>Judicial Lawmaking and Administrative Law</w:t>
      </w:r>
      <w:r w:rsidRPr="00AB3569">
        <w:rPr>
          <w:lang w:val="en-US"/>
        </w:rPr>
        <w:t xml:space="preserve"> (Intersentia, 2005) pp. 21-22.</w:t>
      </w:r>
    </w:p>
  </w:footnote>
  <w:footnote w:id="84">
    <w:p w14:paraId="29A0AAC8" w14:textId="1C90ED24" w:rsidR="003230B7" w:rsidRPr="00AB3569" w:rsidRDefault="003230B7" w:rsidP="00E4189F">
      <w:pPr>
        <w:pStyle w:val="FootnoteText"/>
        <w:rPr>
          <w:lang w:val="en-US"/>
        </w:rPr>
      </w:pPr>
      <w:r w:rsidRPr="00AB3569">
        <w:rPr>
          <w:rStyle w:val="FootnoteReference"/>
        </w:rPr>
        <w:footnoteRef/>
      </w:r>
      <w:r w:rsidRPr="00AB3569">
        <w:rPr>
          <w:lang w:val="en-US"/>
        </w:rPr>
        <w:t xml:space="preserve"> The notion of ‘essence’ appears also in the case law of the ECtHR, see inter alia ECtHR</w:t>
      </w:r>
      <w:r w:rsidRPr="00AB3569">
        <w:rPr>
          <w:i/>
          <w:lang w:val="en-US"/>
        </w:rPr>
        <w:t>, Ashingdane v. the United Kingdom</w:t>
      </w:r>
      <w:r w:rsidRPr="00AB3569">
        <w:rPr>
          <w:lang w:val="en-US"/>
        </w:rPr>
        <w:t xml:space="preserve">, Appl. No. 8225/78, judgment of 28 May 1985, para. 57. The court held that “the right of access to the court is not absolute but may be subject to limitations.... Nonetheless, the limitations applied must not restrict or reduce the access left to the individual in such a way or to such an extent that the very essence of the right is impaired.” </w:t>
      </w:r>
    </w:p>
  </w:footnote>
  <w:footnote w:id="85">
    <w:p w14:paraId="13C47FF8" w14:textId="77777777" w:rsidR="003230B7" w:rsidRPr="00AB3569" w:rsidRDefault="003230B7" w:rsidP="0066695B">
      <w:pPr>
        <w:pStyle w:val="FootnoteText"/>
        <w:rPr>
          <w:lang w:val="es-ES"/>
        </w:rPr>
      </w:pPr>
      <w:r w:rsidRPr="00AB3569">
        <w:rPr>
          <w:rStyle w:val="FootnoteReference"/>
        </w:rPr>
        <w:footnoteRef/>
      </w:r>
      <w:r w:rsidRPr="00AB3569">
        <w:rPr>
          <w:lang w:val="es-ES"/>
        </w:rPr>
        <w:t xml:space="preserve"> Para. 64. </w:t>
      </w:r>
    </w:p>
  </w:footnote>
  <w:footnote w:id="86">
    <w:p w14:paraId="746E013E" w14:textId="37734B19" w:rsidR="003230B7" w:rsidRPr="00AB3569" w:rsidRDefault="003230B7" w:rsidP="0066695B">
      <w:pPr>
        <w:pStyle w:val="FootnoteText"/>
        <w:rPr>
          <w:lang w:val="es-ES"/>
        </w:rPr>
      </w:pPr>
      <w:r w:rsidRPr="00AB3569">
        <w:rPr>
          <w:rStyle w:val="FootnoteReference"/>
        </w:rPr>
        <w:footnoteRef/>
      </w:r>
      <w:r w:rsidRPr="00AB3569">
        <w:rPr>
          <w:lang w:val="en-US"/>
        </w:rPr>
        <w:t xml:space="preserve"> Joined cases C-317/08 to C-320/08, </w:t>
      </w:r>
      <w:r w:rsidRPr="00AB3569">
        <w:rPr>
          <w:i/>
          <w:lang w:val="en-US"/>
        </w:rPr>
        <w:t>Allasini,</w:t>
      </w:r>
      <w:r w:rsidRPr="00AB3569">
        <w:rPr>
          <w:lang w:val="en-US"/>
        </w:rPr>
        <w:t xml:space="preserve"> EU:C:2010:146, para. </w:t>
      </w:r>
      <w:r w:rsidRPr="00AB3569">
        <w:rPr>
          <w:lang w:val="es-ES"/>
        </w:rPr>
        <w:t xml:space="preserve">54. </w:t>
      </w:r>
    </w:p>
  </w:footnote>
  <w:footnote w:id="87">
    <w:p w14:paraId="3B32918C" w14:textId="39BD0EE9" w:rsidR="003230B7" w:rsidRPr="00AB3569" w:rsidRDefault="003230B7" w:rsidP="0066695B">
      <w:pPr>
        <w:pStyle w:val="FootnoteText"/>
        <w:rPr>
          <w:lang w:val="es-ES"/>
        </w:rPr>
      </w:pPr>
      <w:r w:rsidRPr="00AB3569">
        <w:rPr>
          <w:rStyle w:val="FootnoteReference"/>
        </w:rPr>
        <w:footnoteRef/>
      </w:r>
      <w:r w:rsidRPr="00AB3569">
        <w:rPr>
          <w:lang w:val="de-DE"/>
        </w:rPr>
        <w:t xml:space="preserve"> Case C</w:t>
      </w:r>
      <w:r w:rsidRPr="00AB3569">
        <w:rPr>
          <w:rFonts w:ascii="MS Gothic" w:eastAsia="MS Gothic" w:hAnsi="MS Gothic" w:cs="MS Gothic" w:hint="eastAsia"/>
          <w:lang w:val="de-DE"/>
        </w:rPr>
        <w:t>‑</w:t>
      </w:r>
      <w:r w:rsidRPr="00AB3569">
        <w:rPr>
          <w:lang w:val="de-DE"/>
        </w:rPr>
        <w:t xml:space="preserve">362/14, </w:t>
      </w:r>
      <w:r w:rsidRPr="00AB3569">
        <w:rPr>
          <w:i/>
          <w:lang w:val="de-DE"/>
        </w:rPr>
        <w:t>Schrems</w:t>
      </w:r>
      <w:r w:rsidRPr="00AB3569">
        <w:rPr>
          <w:lang w:val="de-DE"/>
        </w:rPr>
        <w:t>,</w:t>
      </w:r>
      <w:r w:rsidRPr="00AB3569">
        <w:rPr>
          <w:i/>
          <w:lang w:val="de-DE"/>
        </w:rPr>
        <w:t xml:space="preserve"> </w:t>
      </w:r>
      <w:r w:rsidRPr="00AB3569">
        <w:rPr>
          <w:lang w:val="de-DE"/>
        </w:rPr>
        <w:t xml:space="preserve">EU:C:2015:650, para. </w:t>
      </w:r>
      <w:r w:rsidRPr="00AB3569">
        <w:rPr>
          <w:lang w:val="es-ES"/>
        </w:rPr>
        <w:t>95.</w:t>
      </w:r>
    </w:p>
  </w:footnote>
  <w:footnote w:id="88">
    <w:p w14:paraId="1E06829A" w14:textId="171DF21D" w:rsidR="003230B7" w:rsidRPr="00AB3569" w:rsidRDefault="003230B7" w:rsidP="0066695B">
      <w:pPr>
        <w:pStyle w:val="FootnoteText"/>
        <w:rPr>
          <w:lang w:val="es-ES"/>
        </w:rPr>
      </w:pPr>
      <w:r w:rsidRPr="00AB3569">
        <w:rPr>
          <w:rStyle w:val="FootnoteReference"/>
        </w:rPr>
        <w:footnoteRef/>
      </w:r>
      <w:r w:rsidRPr="00AB3569">
        <w:rPr>
          <w:lang w:val="es-ES"/>
        </w:rPr>
        <w:t xml:space="preserve"> Case C-205/15, </w:t>
      </w:r>
      <w:r w:rsidRPr="00AB3569">
        <w:rPr>
          <w:i/>
          <w:lang w:val="es-ES"/>
        </w:rPr>
        <w:t>Toma</w:t>
      </w:r>
      <w:r w:rsidRPr="00AB3569">
        <w:rPr>
          <w:lang w:val="es-ES"/>
        </w:rPr>
        <w:t xml:space="preserve">, EU:C:2016:499, para. 45. </w:t>
      </w:r>
    </w:p>
  </w:footnote>
  <w:footnote w:id="89">
    <w:p w14:paraId="7ACD0025" w14:textId="5A6C4343" w:rsidR="003230B7" w:rsidRPr="00AB3569" w:rsidRDefault="003230B7" w:rsidP="0066695B">
      <w:pPr>
        <w:pStyle w:val="FootnoteText"/>
        <w:rPr>
          <w:lang w:val="en-US"/>
        </w:rPr>
      </w:pPr>
      <w:r w:rsidRPr="00AB3569">
        <w:rPr>
          <w:rStyle w:val="FootnoteReference"/>
        </w:rPr>
        <w:footnoteRef/>
      </w:r>
      <w:r w:rsidRPr="00AB3569">
        <w:rPr>
          <w:lang w:val="es-ES"/>
        </w:rPr>
        <w:t xml:space="preserve"> Case C-279/09, </w:t>
      </w:r>
      <w:r w:rsidRPr="00AB3569">
        <w:rPr>
          <w:i/>
          <w:lang w:val="es-ES"/>
        </w:rPr>
        <w:t xml:space="preserve">DEB, </w:t>
      </w:r>
      <w:r w:rsidRPr="00AB3569">
        <w:rPr>
          <w:lang w:val="es-ES"/>
        </w:rPr>
        <w:t xml:space="preserve">EU:C:2010:811, para. </w:t>
      </w:r>
      <w:r w:rsidRPr="00AB3569">
        <w:rPr>
          <w:lang w:val="en-US"/>
        </w:rPr>
        <w:t xml:space="preserve">60. </w:t>
      </w:r>
    </w:p>
  </w:footnote>
  <w:footnote w:id="90">
    <w:p w14:paraId="258B801B" w14:textId="68BD2A12" w:rsidR="003230B7" w:rsidRPr="00AB3569" w:rsidRDefault="003230B7" w:rsidP="0066695B">
      <w:pPr>
        <w:pStyle w:val="FootnoteText"/>
        <w:rPr>
          <w:lang w:val="en-US"/>
        </w:rPr>
      </w:pPr>
      <w:r w:rsidRPr="00AB3569">
        <w:rPr>
          <w:rStyle w:val="FootnoteReference"/>
        </w:rPr>
        <w:footnoteRef/>
      </w:r>
      <w:r w:rsidRPr="00AB3569">
        <w:rPr>
          <w:lang w:val="en-US"/>
        </w:rPr>
        <w:t xml:space="preserve"> Joined Cases C-317/08 to C-320/08, </w:t>
      </w:r>
      <w:r w:rsidRPr="00AB3569">
        <w:rPr>
          <w:i/>
          <w:lang w:val="en-US"/>
        </w:rPr>
        <w:t>Allasini,</w:t>
      </w:r>
      <w:r w:rsidRPr="00AB3569">
        <w:rPr>
          <w:lang w:val="en-US"/>
        </w:rPr>
        <w:t xml:space="preserve"> EU:C:2010:146, paras 64-65 and Case C-73/16, </w:t>
      </w:r>
      <w:r w:rsidRPr="00AB3569">
        <w:rPr>
          <w:i/>
          <w:lang w:val="en-US"/>
        </w:rPr>
        <w:t>Puškár</w:t>
      </w:r>
      <w:r w:rsidRPr="00AB3569">
        <w:rPr>
          <w:lang w:val="en-US"/>
        </w:rPr>
        <w:t xml:space="preserve">, EU:C:2017:725, paras 63-75. See similarly joined cases C-439/14 and C-488/14, </w:t>
      </w:r>
      <w:r w:rsidRPr="00AB3569">
        <w:rPr>
          <w:i/>
          <w:lang w:val="en-US"/>
        </w:rPr>
        <w:t>Star Storage</w:t>
      </w:r>
      <w:r w:rsidRPr="00AB3569">
        <w:rPr>
          <w:lang w:val="en-US"/>
        </w:rPr>
        <w:t xml:space="preserve">, EU:C:2016:688, para. 51-61, concerning national legislation requiring a ‘good conduct guarantee’ for a claim to be admissible. </w:t>
      </w:r>
    </w:p>
  </w:footnote>
  <w:footnote w:id="91">
    <w:p w14:paraId="73BE5E9A" w14:textId="63E9469F" w:rsidR="003230B7" w:rsidRPr="00AB3569" w:rsidRDefault="003230B7" w:rsidP="0066695B">
      <w:pPr>
        <w:pStyle w:val="FootnoteText"/>
        <w:rPr>
          <w:lang w:val="en-US"/>
        </w:rPr>
      </w:pPr>
      <w:r w:rsidRPr="00AB3569">
        <w:rPr>
          <w:rStyle w:val="FootnoteReference"/>
        </w:rPr>
        <w:footnoteRef/>
      </w:r>
      <w:r w:rsidRPr="00AB3569">
        <w:rPr>
          <w:lang w:val="es-ES"/>
        </w:rPr>
        <w:t xml:space="preserve"> Case C-61/14, </w:t>
      </w:r>
      <w:r w:rsidRPr="00AB3569">
        <w:rPr>
          <w:i/>
          <w:lang w:val="es-ES"/>
        </w:rPr>
        <w:t>Orizzonte,</w:t>
      </w:r>
      <w:r w:rsidRPr="00AB3569">
        <w:rPr>
          <w:lang w:val="es-ES"/>
        </w:rPr>
        <w:t xml:space="preserve"> EU:C:2015:655, para. </w:t>
      </w:r>
      <w:r w:rsidRPr="00AB3569">
        <w:rPr>
          <w:lang w:val="en-US"/>
        </w:rPr>
        <w:t xml:space="preserve">73. </w:t>
      </w:r>
    </w:p>
  </w:footnote>
  <w:footnote w:id="92">
    <w:p w14:paraId="69402F22" w14:textId="3CBC8D99" w:rsidR="003230B7" w:rsidRPr="00AB3569" w:rsidRDefault="003230B7" w:rsidP="0066695B">
      <w:pPr>
        <w:pStyle w:val="FootnoteText"/>
        <w:rPr>
          <w:lang w:val="fr-FR"/>
        </w:rPr>
      </w:pPr>
      <w:r w:rsidRPr="00AB3569">
        <w:rPr>
          <w:rStyle w:val="FootnoteReference"/>
        </w:rPr>
        <w:footnoteRef/>
      </w:r>
      <w:r w:rsidRPr="00AB3569">
        <w:rPr>
          <w:lang w:val="en-US"/>
        </w:rPr>
        <w:t xml:space="preserve"> Joined cases C-317/08 to C-320/08, </w:t>
      </w:r>
      <w:r w:rsidRPr="00AB3569">
        <w:rPr>
          <w:i/>
          <w:lang w:val="en-US"/>
        </w:rPr>
        <w:t>Allasini,</w:t>
      </w:r>
      <w:r w:rsidRPr="00AB3569">
        <w:rPr>
          <w:lang w:val="en-US"/>
        </w:rPr>
        <w:t xml:space="preserve"> EU:C:2010:146, para. </w:t>
      </w:r>
      <w:r w:rsidRPr="00AB3569">
        <w:rPr>
          <w:lang w:val="fr-FR"/>
        </w:rPr>
        <w:t xml:space="preserve">64. </w:t>
      </w:r>
    </w:p>
  </w:footnote>
  <w:footnote w:id="93">
    <w:p w14:paraId="5E5D087C" w14:textId="47BD129B" w:rsidR="003230B7" w:rsidRPr="00AB3569" w:rsidRDefault="003230B7" w:rsidP="0066695B">
      <w:pPr>
        <w:pStyle w:val="FootnoteText"/>
        <w:rPr>
          <w:lang w:val="en-US"/>
        </w:rPr>
      </w:pPr>
      <w:r w:rsidRPr="00AB3569">
        <w:rPr>
          <w:rStyle w:val="FootnoteReference"/>
        </w:rPr>
        <w:footnoteRef/>
      </w:r>
      <w:r w:rsidRPr="00AB3569">
        <w:rPr>
          <w:lang w:val="fr-FR"/>
        </w:rPr>
        <w:t xml:space="preserve"> Case C-104/13, </w:t>
      </w:r>
      <w:r w:rsidRPr="00AB3569">
        <w:rPr>
          <w:i/>
          <w:lang w:val="fr-FR"/>
        </w:rPr>
        <w:t>Olainfarm</w:t>
      </w:r>
      <w:r w:rsidRPr="00AB3569">
        <w:rPr>
          <w:lang w:val="fr-FR"/>
        </w:rPr>
        <w:t>, EU:C:2014:2316, paras 36-39 and Case C-510/13</w:t>
      </w:r>
      <w:r w:rsidRPr="00AB3569">
        <w:rPr>
          <w:i/>
          <w:lang w:val="fr-FR"/>
        </w:rPr>
        <w:t>, E.ON Földgaz,</w:t>
      </w:r>
      <w:r w:rsidRPr="00AB3569">
        <w:rPr>
          <w:lang w:val="fr-FR"/>
        </w:rPr>
        <w:t xml:space="preserve"> EU:C:2015:189, paras 42-51. </w:t>
      </w:r>
      <w:r w:rsidR="00714215" w:rsidRPr="00AB3569">
        <w:rPr>
          <w:lang w:val="en-US"/>
        </w:rPr>
        <w:t>In its case law</w:t>
      </w:r>
      <w:r w:rsidR="00F069FE" w:rsidRPr="00AB3569">
        <w:rPr>
          <w:lang w:val="en-US"/>
        </w:rPr>
        <w:t xml:space="preserve"> on </w:t>
      </w:r>
      <w:r w:rsidR="00F069FE" w:rsidRPr="00AB3569">
        <w:rPr>
          <w:i/>
          <w:lang w:val="en-US"/>
        </w:rPr>
        <w:t>locus standi</w:t>
      </w:r>
      <w:r w:rsidR="00F069FE" w:rsidRPr="00AB3569">
        <w:rPr>
          <w:lang w:val="en-US"/>
        </w:rPr>
        <w:t xml:space="preserve"> </w:t>
      </w:r>
      <w:r w:rsidR="00714215" w:rsidRPr="00AB3569">
        <w:rPr>
          <w:lang w:val="en-US"/>
        </w:rPr>
        <w:t>before domestic courts, the ECJ has not used</w:t>
      </w:r>
      <w:r w:rsidR="00F069FE" w:rsidRPr="00AB3569">
        <w:rPr>
          <w:lang w:val="en-US"/>
        </w:rPr>
        <w:t xml:space="preserve"> </w:t>
      </w:r>
      <w:r w:rsidR="00714215" w:rsidRPr="00AB3569">
        <w:rPr>
          <w:lang w:val="en-US"/>
        </w:rPr>
        <w:t xml:space="preserve">the </w:t>
      </w:r>
      <w:r w:rsidR="00F069FE" w:rsidRPr="00AB3569">
        <w:rPr>
          <w:lang w:val="en-US"/>
        </w:rPr>
        <w:t xml:space="preserve">restrictive </w:t>
      </w:r>
      <w:r w:rsidR="00F069FE" w:rsidRPr="00AB3569">
        <w:rPr>
          <w:i/>
          <w:lang w:val="en-US"/>
        </w:rPr>
        <w:t>Plaumann</w:t>
      </w:r>
      <w:r w:rsidR="00F069FE" w:rsidRPr="00AB3569">
        <w:rPr>
          <w:lang w:val="en-US"/>
        </w:rPr>
        <w:t>-doctrine</w:t>
      </w:r>
      <w:r w:rsidR="00714215" w:rsidRPr="00AB3569">
        <w:rPr>
          <w:lang w:val="en-US"/>
        </w:rPr>
        <w:t>, applicable under Article 263(4) TFEU</w:t>
      </w:r>
      <w:r w:rsidR="00F069FE" w:rsidRPr="00AB3569">
        <w:rPr>
          <w:lang w:val="en-US"/>
        </w:rPr>
        <w:t xml:space="preserve">, cf. Case 25/62, </w:t>
      </w:r>
      <w:r w:rsidR="00F069FE" w:rsidRPr="00AB3569">
        <w:rPr>
          <w:i/>
          <w:lang w:val="en-US"/>
        </w:rPr>
        <w:t>Plaumann,</w:t>
      </w:r>
      <w:r w:rsidR="00F069FE" w:rsidRPr="00AB3569">
        <w:rPr>
          <w:lang w:val="en-US"/>
        </w:rPr>
        <w:t xml:space="preserve"> EU:C:1963:17. </w:t>
      </w:r>
    </w:p>
  </w:footnote>
  <w:footnote w:id="94">
    <w:p w14:paraId="321B74C9" w14:textId="1A7B4091" w:rsidR="003230B7" w:rsidRPr="00AB3569" w:rsidRDefault="003230B7" w:rsidP="0066695B">
      <w:pPr>
        <w:pStyle w:val="FootnoteText"/>
        <w:rPr>
          <w:lang w:val="es-ES"/>
        </w:rPr>
      </w:pPr>
      <w:r w:rsidRPr="00AB3569">
        <w:rPr>
          <w:rStyle w:val="FootnoteReference"/>
        </w:rPr>
        <w:footnoteRef/>
      </w:r>
      <w:r w:rsidRPr="00AB3569">
        <w:t xml:space="preserve"> Case C-97/91, </w:t>
      </w:r>
      <w:r w:rsidRPr="00AB3569">
        <w:rPr>
          <w:i/>
        </w:rPr>
        <w:t>Borelli</w:t>
      </w:r>
      <w:r w:rsidRPr="00AB3569">
        <w:t>,</w:t>
      </w:r>
      <w:r w:rsidRPr="00AB3569">
        <w:rPr>
          <w:i/>
        </w:rPr>
        <w:t xml:space="preserve"> </w:t>
      </w:r>
      <w:r w:rsidRPr="00AB3569">
        <w:t xml:space="preserve">EU:C:1992:491, para. </w:t>
      </w:r>
      <w:r w:rsidRPr="00AB3569">
        <w:rPr>
          <w:lang w:val="en-US"/>
        </w:rPr>
        <w:t xml:space="preserve">13. The Court used similar formulations in Case C-269/99, </w:t>
      </w:r>
      <w:r w:rsidRPr="00AB3569">
        <w:rPr>
          <w:i/>
          <w:lang w:val="en-US"/>
        </w:rPr>
        <w:t>Kühne,</w:t>
      </w:r>
      <w:r w:rsidRPr="00AB3569">
        <w:rPr>
          <w:lang w:val="en-US"/>
        </w:rPr>
        <w:t xml:space="preserve"> EU:C:2001:659, para. </w:t>
      </w:r>
      <w:r w:rsidRPr="00AB3569">
        <w:rPr>
          <w:lang w:val="es-ES"/>
        </w:rPr>
        <w:t xml:space="preserve">58 and Case C-562/12, </w:t>
      </w:r>
      <w:r w:rsidRPr="00AB3569">
        <w:rPr>
          <w:i/>
          <w:noProof/>
          <w:lang w:val="es-ES"/>
        </w:rPr>
        <w:t>Liivimaas Lihaveis,</w:t>
      </w:r>
      <w:r w:rsidRPr="00AB3569">
        <w:rPr>
          <w:lang w:val="es-ES"/>
        </w:rPr>
        <w:t xml:space="preserve"> EU:C:2014:2229, para. 75.</w:t>
      </w:r>
    </w:p>
  </w:footnote>
  <w:footnote w:id="95">
    <w:p w14:paraId="625C0089" w14:textId="4231EB10" w:rsidR="003230B7" w:rsidRPr="00AB3569" w:rsidRDefault="003230B7" w:rsidP="0066695B">
      <w:pPr>
        <w:pStyle w:val="FootnoteText"/>
        <w:rPr>
          <w:lang w:val="es-ES"/>
        </w:rPr>
      </w:pPr>
      <w:r w:rsidRPr="00AB3569">
        <w:rPr>
          <w:rStyle w:val="FootnoteReference"/>
        </w:rPr>
        <w:footnoteRef/>
      </w:r>
      <w:r w:rsidRPr="00AB3569">
        <w:rPr>
          <w:lang w:val="es-ES"/>
        </w:rPr>
        <w:t xml:space="preserve"> Case 222/84</w:t>
      </w:r>
      <w:r w:rsidR="00E43656" w:rsidRPr="00AB3569">
        <w:rPr>
          <w:lang w:val="es-ES"/>
        </w:rPr>
        <w:t>,</w:t>
      </w:r>
      <w:r w:rsidRPr="00AB3569">
        <w:rPr>
          <w:lang w:val="es-ES"/>
        </w:rPr>
        <w:t xml:space="preserve"> </w:t>
      </w:r>
      <w:r w:rsidRPr="00AB3569">
        <w:rPr>
          <w:i/>
          <w:lang w:val="es-ES"/>
        </w:rPr>
        <w:t>Johnston</w:t>
      </w:r>
      <w:r w:rsidRPr="00AB3569">
        <w:rPr>
          <w:lang w:val="es-ES"/>
        </w:rPr>
        <w:t>,</w:t>
      </w:r>
      <w:r w:rsidRPr="00AB3569">
        <w:rPr>
          <w:i/>
          <w:lang w:val="es-ES"/>
        </w:rPr>
        <w:t xml:space="preserve"> </w:t>
      </w:r>
      <w:r w:rsidRPr="00AB3569">
        <w:rPr>
          <w:lang w:val="es-ES"/>
        </w:rPr>
        <w:t xml:space="preserve">EU:C:1986:206, para. 21. </w:t>
      </w:r>
    </w:p>
  </w:footnote>
  <w:footnote w:id="96">
    <w:p w14:paraId="7E8D667A" w14:textId="5CC91BBD" w:rsidR="003230B7" w:rsidRPr="00AB3569" w:rsidRDefault="003230B7" w:rsidP="00093FD8">
      <w:pPr>
        <w:pStyle w:val="FootnoteText"/>
        <w:rPr>
          <w:lang w:val="es-ES"/>
        </w:rPr>
      </w:pPr>
      <w:r w:rsidRPr="00AB3569">
        <w:rPr>
          <w:rStyle w:val="FootnoteReference"/>
        </w:rPr>
        <w:footnoteRef/>
      </w:r>
      <w:r w:rsidRPr="00AB3569">
        <w:rPr>
          <w:lang w:val="es-ES"/>
        </w:rPr>
        <w:t xml:space="preserve"> Case C-64/16, </w:t>
      </w:r>
      <w:r w:rsidRPr="00AB3569">
        <w:rPr>
          <w:i/>
          <w:noProof/>
          <w:lang w:val="es-ES"/>
        </w:rPr>
        <w:t>Associação Sindical dos Juízes Portugueses</w:t>
      </w:r>
      <w:r w:rsidR="00E43656" w:rsidRPr="00AB3569">
        <w:rPr>
          <w:lang w:val="es-ES"/>
        </w:rPr>
        <w:t xml:space="preserve">, EU:C:2018:117, </w:t>
      </w:r>
      <w:r w:rsidRPr="00AB3569">
        <w:rPr>
          <w:lang w:val="es-ES"/>
        </w:rPr>
        <w:t>para. 36. See also Case C</w:t>
      </w:r>
      <w:r w:rsidRPr="00AB3569">
        <w:rPr>
          <w:rFonts w:ascii="MS Gothic" w:eastAsia="MS Gothic" w:hAnsi="MS Gothic" w:cs="MS Gothic" w:hint="eastAsia"/>
          <w:lang w:val="es-ES"/>
        </w:rPr>
        <w:t>‑</w:t>
      </w:r>
      <w:r w:rsidRPr="00AB3569">
        <w:rPr>
          <w:lang w:val="es-ES"/>
        </w:rPr>
        <w:t xml:space="preserve">362/14 </w:t>
      </w:r>
      <w:r w:rsidRPr="00AB3569">
        <w:rPr>
          <w:i/>
          <w:lang w:val="es-ES"/>
        </w:rPr>
        <w:t>Schrems</w:t>
      </w:r>
      <w:r w:rsidR="00EC7EA2" w:rsidRPr="00AB3569">
        <w:rPr>
          <w:lang w:val="es-ES"/>
        </w:rPr>
        <w:t>,</w:t>
      </w:r>
      <w:r w:rsidRPr="00AB3569">
        <w:rPr>
          <w:lang w:val="es-ES"/>
        </w:rPr>
        <w:t xml:space="preserve"> </w:t>
      </w:r>
      <w:r w:rsidR="00EC7EA2" w:rsidRPr="00AB3569">
        <w:rPr>
          <w:lang w:val="es-ES"/>
        </w:rPr>
        <w:t xml:space="preserve">EU:C:2015:650, </w:t>
      </w:r>
      <w:r w:rsidRPr="00AB3569">
        <w:rPr>
          <w:lang w:val="es-ES"/>
        </w:rPr>
        <w:t xml:space="preserve">para. 95. </w:t>
      </w:r>
    </w:p>
  </w:footnote>
  <w:footnote w:id="97">
    <w:p w14:paraId="11A146F1" w14:textId="6E7A4968" w:rsidR="003230B7" w:rsidRPr="00AB3569" w:rsidRDefault="003230B7">
      <w:pPr>
        <w:pStyle w:val="FootnoteText"/>
        <w:rPr>
          <w:lang w:val="en-US"/>
        </w:rPr>
      </w:pPr>
      <w:r w:rsidRPr="00AB3569">
        <w:rPr>
          <w:rStyle w:val="FootnoteReference"/>
        </w:rPr>
        <w:footnoteRef/>
      </w:r>
      <w:r w:rsidRPr="00AB3569">
        <w:rPr>
          <w:lang w:val="es-ES"/>
        </w:rPr>
        <w:t xml:space="preserve"> Case C-64/16, </w:t>
      </w:r>
      <w:r w:rsidRPr="00AB3569">
        <w:rPr>
          <w:i/>
          <w:noProof/>
          <w:lang w:val="es-ES"/>
        </w:rPr>
        <w:t>Associação Sindical dos Juízes Portugueses</w:t>
      </w:r>
      <w:r w:rsidRPr="00AB3569">
        <w:rPr>
          <w:lang w:val="es-ES"/>
        </w:rPr>
        <w:t xml:space="preserve"> </w:t>
      </w:r>
      <w:r w:rsidR="000B0DFD" w:rsidRPr="00AB3569">
        <w:rPr>
          <w:lang w:val="es-ES"/>
        </w:rPr>
        <w:t xml:space="preserve">EU:C:2018:117, </w:t>
      </w:r>
      <w:r w:rsidRPr="00AB3569">
        <w:rPr>
          <w:lang w:val="es-ES"/>
        </w:rPr>
        <w:t xml:space="preserve">para. </w:t>
      </w:r>
      <w:r w:rsidRPr="00AB3569">
        <w:rPr>
          <w:lang w:val="en-US"/>
        </w:rPr>
        <w:t>32. See also Case 294/83</w:t>
      </w:r>
      <w:r w:rsidR="007F4A13" w:rsidRPr="00AB3569">
        <w:rPr>
          <w:lang w:val="en-US"/>
        </w:rPr>
        <w:t>,</w:t>
      </w:r>
      <w:r w:rsidRPr="00AB3569">
        <w:rPr>
          <w:lang w:val="en-US"/>
        </w:rPr>
        <w:t xml:space="preserve"> </w:t>
      </w:r>
      <w:r w:rsidRPr="00AB3569">
        <w:rPr>
          <w:i/>
          <w:lang w:val="en-US"/>
        </w:rPr>
        <w:t>Les Verts</w:t>
      </w:r>
      <w:r w:rsidR="000B0DFD" w:rsidRPr="00AB3569">
        <w:rPr>
          <w:lang w:val="en-US"/>
        </w:rPr>
        <w:t>, EU:C:1986:166,</w:t>
      </w:r>
      <w:r w:rsidRPr="00AB3569">
        <w:rPr>
          <w:sz w:val="21"/>
          <w:szCs w:val="21"/>
          <w:shd w:val="clear" w:color="auto" w:fill="FFFFFF"/>
          <w:lang w:val="en-US"/>
        </w:rPr>
        <w:t xml:space="preserve"> </w:t>
      </w:r>
      <w:r w:rsidRPr="00AB3569">
        <w:rPr>
          <w:lang w:val="en-US"/>
        </w:rPr>
        <w:t xml:space="preserve">para. 23. </w:t>
      </w:r>
    </w:p>
  </w:footnote>
  <w:footnote w:id="98">
    <w:p w14:paraId="732B3F53" w14:textId="77777777" w:rsidR="003230B7" w:rsidRPr="00AB3569" w:rsidRDefault="003230B7" w:rsidP="002E2E06">
      <w:pPr>
        <w:pStyle w:val="FootnoteText"/>
        <w:rPr>
          <w:lang w:val="en-US"/>
        </w:rPr>
      </w:pPr>
      <w:r w:rsidRPr="00AB3569">
        <w:rPr>
          <w:rStyle w:val="FootnoteReference"/>
        </w:rPr>
        <w:footnoteRef/>
      </w:r>
      <w:r w:rsidRPr="00AB3569">
        <w:rPr>
          <w:lang w:val="en-US"/>
        </w:rPr>
        <w:t xml:space="preserve"> Para. 90. </w:t>
      </w:r>
    </w:p>
  </w:footnote>
  <w:footnote w:id="99">
    <w:p w14:paraId="61031165" w14:textId="2C35EEB5" w:rsidR="000E7744" w:rsidRPr="00AB3569" w:rsidRDefault="000E7744">
      <w:pPr>
        <w:pStyle w:val="FootnoteText"/>
        <w:rPr>
          <w:rFonts w:eastAsia="PMingLiU"/>
          <w:lang w:val="en-US" w:eastAsia="zh-TW"/>
        </w:rPr>
      </w:pPr>
      <w:r w:rsidRPr="00AB3569">
        <w:rPr>
          <w:rStyle w:val="FootnoteReference"/>
        </w:rPr>
        <w:footnoteRef/>
      </w:r>
      <w:r w:rsidRPr="00AB3569">
        <w:rPr>
          <w:lang w:val="en-US"/>
        </w:rPr>
        <w:t xml:space="preserve"> Leczykiewicz, ‘Effectiveness of EU Law Before National Courts: Direct Effect, Consistent Interpretation and Member State Liability’ in Arnull and Chalmers (eds), </w:t>
      </w:r>
      <w:r w:rsidRPr="00AB3569">
        <w:rPr>
          <w:i/>
          <w:lang w:val="en-US"/>
        </w:rPr>
        <w:t>Oxford Handbook of European Union Law</w:t>
      </w:r>
      <w:r w:rsidRPr="00AB3569">
        <w:rPr>
          <w:lang w:val="en-US"/>
        </w:rPr>
        <w:t xml:space="preserve"> (</w:t>
      </w:r>
      <w:r w:rsidR="00C85A77" w:rsidRPr="00AB3569">
        <w:rPr>
          <w:lang w:val="en-US"/>
        </w:rPr>
        <w:t>OUP</w:t>
      </w:r>
      <w:r w:rsidRPr="00AB3569">
        <w:rPr>
          <w:lang w:val="en-US"/>
        </w:rPr>
        <w:t xml:space="preserve"> 2015) </w:t>
      </w:r>
      <w:r w:rsidR="00C85A77" w:rsidRPr="00AB3569">
        <w:rPr>
          <w:lang w:val="en-US"/>
        </w:rPr>
        <w:t xml:space="preserve">p. </w:t>
      </w:r>
      <w:r w:rsidRPr="00AB3569">
        <w:rPr>
          <w:lang w:val="en-US"/>
        </w:rPr>
        <w:t>213</w:t>
      </w:r>
    </w:p>
  </w:footnote>
  <w:footnote w:id="100">
    <w:p w14:paraId="12A3DC16" w14:textId="58CC5793" w:rsidR="003230B7" w:rsidRPr="00AB3569" w:rsidRDefault="003230B7">
      <w:pPr>
        <w:pStyle w:val="FootnoteText"/>
        <w:rPr>
          <w:lang w:val="en-US"/>
        </w:rPr>
      </w:pPr>
      <w:r w:rsidRPr="00AB3569">
        <w:rPr>
          <w:rStyle w:val="FootnoteReference"/>
        </w:rPr>
        <w:footnoteRef/>
      </w:r>
      <w:r w:rsidRPr="00AB3569">
        <w:rPr>
          <w:lang w:val="en-US"/>
        </w:rPr>
        <w:t xml:space="preserve"> Wilman, </w:t>
      </w:r>
      <w:r w:rsidR="00BE5EF5" w:rsidRPr="00AB3569">
        <w:rPr>
          <w:lang w:val="en-US"/>
        </w:rPr>
        <w:t>op</w:t>
      </w:r>
      <w:r w:rsidR="00BE06F7" w:rsidRPr="00AB3569">
        <w:rPr>
          <w:lang w:val="en-US"/>
        </w:rPr>
        <w:t xml:space="preserve">.cit. </w:t>
      </w:r>
      <w:r w:rsidR="00BE06F7" w:rsidRPr="00AB3569">
        <w:rPr>
          <w:i/>
          <w:lang w:val="en-US"/>
        </w:rPr>
        <w:t>supra</w:t>
      </w:r>
      <w:r w:rsidR="00BE06F7" w:rsidRPr="00AB3569">
        <w:rPr>
          <w:lang w:val="en-US"/>
        </w:rPr>
        <w:t xml:space="preserve"> note </w:t>
      </w:r>
      <w:r w:rsidR="00067B8B" w:rsidRPr="00AB3569">
        <w:rPr>
          <w:lang w:val="en-US"/>
        </w:rPr>
        <w:t>69</w:t>
      </w:r>
      <w:r w:rsidR="00BE06F7" w:rsidRPr="00AB3569">
        <w:rPr>
          <w:lang w:val="en-US"/>
        </w:rPr>
        <w:t xml:space="preserve"> </w:t>
      </w:r>
      <w:r w:rsidR="007F4A13" w:rsidRPr="00AB3569">
        <w:rPr>
          <w:lang w:val="en-US"/>
        </w:rPr>
        <w:t xml:space="preserve">p. </w:t>
      </w:r>
      <w:r w:rsidRPr="00AB3569">
        <w:rPr>
          <w:lang w:val="en-US"/>
        </w:rPr>
        <w:t xml:space="preserve">522 and </w:t>
      </w:r>
      <w:r w:rsidR="00B701C1" w:rsidRPr="00AB3569">
        <w:rPr>
          <w:lang w:val="en-US"/>
        </w:rPr>
        <w:t>Dougan, “</w:t>
      </w:r>
      <w:r w:rsidRPr="00AB3569">
        <w:rPr>
          <w:lang w:val="en-US"/>
        </w:rPr>
        <w:t>The Vicissitudes of Life at the Coalface: Remedies and Procedures for Enforcing Union</w:t>
      </w:r>
      <w:r w:rsidR="00B701C1" w:rsidRPr="00AB3569">
        <w:rPr>
          <w:lang w:val="en-US"/>
        </w:rPr>
        <w:t xml:space="preserve"> Law before the National Courts”</w:t>
      </w:r>
      <w:r w:rsidRPr="00AB3569">
        <w:rPr>
          <w:lang w:val="en-US"/>
        </w:rPr>
        <w:t xml:space="preserve"> in Craig and de Burca (eds.), </w:t>
      </w:r>
      <w:r w:rsidRPr="00AB3569">
        <w:rPr>
          <w:i/>
          <w:lang w:val="en-US"/>
        </w:rPr>
        <w:t>The Evolution of EU law</w:t>
      </w:r>
      <w:r w:rsidRPr="00AB3569">
        <w:rPr>
          <w:lang w:val="en-US"/>
        </w:rPr>
        <w:t xml:space="preserve"> (O</w:t>
      </w:r>
      <w:r w:rsidR="007F4A13" w:rsidRPr="00AB3569">
        <w:rPr>
          <w:lang w:val="en-US"/>
        </w:rPr>
        <w:t xml:space="preserve">UP </w:t>
      </w:r>
      <w:r w:rsidRPr="00AB3569">
        <w:rPr>
          <w:lang w:val="en-US"/>
        </w:rPr>
        <w:t xml:space="preserve">2011) </w:t>
      </w:r>
      <w:r w:rsidR="007F4A13" w:rsidRPr="00AB3569">
        <w:rPr>
          <w:lang w:val="en-US"/>
        </w:rPr>
        <w:t xml:space="preserve">p. </w:t>
      </w:r>
      <w:r w:rsidRPr="00AB3569">
        <w:rPr>
          <w:lang w:val="en-US"/>
        </w:rPr>
        <w:t xml:space="preserve">431. </w:t>
      </w:r>
    </w:p>
  </w:footnote>
  <w:footnote w:id="101">
    <w:p w14:paraId="333EEF4A" w14:textId="104701C9" w:rsidR="003230B7" w:rsidRPr="00AB3569" w:rsidRDefault="003230B7" w:rsidP="00D10A72">
      <w:pPr>
        <w:pStyle w:val="FootnoteText"/>
        <w:rPr>
          <w:lang w:val="en-US"/>
        </w:rPr>
      </w:pPr>
      <w:r w:rsidRPr="00AB3569">
        <w:rPr>
          <w:rStyle w:val="FootnoteReference"/>
        </w:rPr>
        <w:footnoteRef/>
      </w:r>
      <w:r w:rsidRPr="00AB3569">
        <w:rPr>
          <w:lang w:val="en-US"/>
        </w:rPr>
        <w:t xml:space="preserve"> </w:t>
      </w:r>
      <w:r w:rsidR="007F4A13" w:rsidRPr="00AB3569">
        <w:rPr>
          <w:lang w:val="en-US"/>
        </w:rPr>
        <w:t>Ruffert, “</w:t>
      </w:r>
      <w:r w:rsidRPr="00AB3569">
        <w:rPr>
          <w:lang w:val="en-US"/>
        </w:rPr>
        <w:t>Rights and Remedies in European Co</w:t>
      </w:r>
      <w:r w:rsidR="007F4A13" w:rsidRPr="00AB3569">
        <w:rPr>
          <w:lang w:val="en-US"/>
        </w:rPr>
        <w:t>mmunity Law: A Comparative View”, 34 CML</w:t>
      </w:r>
      <w:r w:rsidRPr="00AB3569">
        <w:rPr>
          <w:lang w:val="en-US"/>
        </w:rPr>
        <w:t>Rev</w:t>
      </w:r>
      <w:r w:rsidR="007F4A13" w:rsidRPr="00AB3569">
        <w:rPr>
          <w:lang w:val="en-US"/>
        </w:rPr>
        <w:t xml:space="preserve"> (1997)</w:t>
      </w:r>
      <w:r w:rsidRPr="00AB3569">
        <w:rPr>
          <w:lang w:val="en-US"/>
        </w:rPr>
        <w:t xml:space="preserve"> 307</w:t>
      </w:r>
      <w:r w:rsidR="007F4A13" w:rsidRPr="00AB3569">
        <w:rPr>
          <w:lang w:val="en-US"/>
        </w:rPr>
        <w:t>-336</w:t>
      </w:r>
      <w:r w:rsidRPr="00AB3569">
        <w:rPr>
          <w:lang w:val="en-US"/>
        </w:rPr>
        <w:t xml:space="preserve">, </w:t>
      </w:r>
      <w:r w:rsidR="007F4A13" w:rsidRPr="00AB3569">
        <w:rPr>
          <w:lang w:val="en-US"/>
        </w:rPr>
        <w:t xml:space="preserve">at </w:t>
      </w:r>
      <w:r w:rsidRPr="00AB3569">
        <w:rPr>
          <w:lang w:val="en-US"/>
        </w:rPr>
        <w:t xml:space="preserve">316. He uses the term “functional subjectivation”. Along the same lines, Galetta has stressed that “the citizen of the EU becomes an instrument in the process of implementation of EU law and the pursuit of its </w:t>
      </w:r>
      <w:r w:rsidRPr="00AB3569">
        <w:rPr>
          <w:i/>
          <w:lang w:val="en-US"/>
        </w:rPr>
        <w:t>effet utile</w:t>
      </w:r>
      <w:r w:rsidRPr="00AB3569">
        <w:rPr>
          <w:lang w:val="en-US"/>
        </w:rPr>
        <w:t xml:space="preserve">”, cf. Galetta, </w:t>
      </w:r>
      <w:r w:rsidRPr="00AB3569">
        <w:rPr>
          <w:i/>
          <w:lang w:val="en-US"/>
        </w:rPr>
        <w:t>Procedural Autonomy of EU Member States: Paradise Lost?</w:t>
      </w:r>
      <w:r w:rsidRPr="00AB3569">
        <w:rPr>
          <w:lang w:val="en-US"/>
        </w:rPr>
        <w:t xml:space="preserve"> (Springer</w:t>
      </w:r>
      <w:r w:rsidR="00834341" w:rsidRPr="00AB3569">
        <w:rPr>
          <w:lang w:val="en-US"/>
        </w:rPr>
        <w:t>,</w:t>
      </w:r>
      <w:r w:rsidRPr="00AB3569">
        <w:rPr>
          <w:lang w:val="en-US"/>
        </w:rPr>
        <w:t xml:space="preserve"> 2010) </w:t>
      </w:r>
      <w:r w:rsidR="00834341" w:rsidRPr="00AB3569">
        <w:rPr>
          <w:lang w:val="en-US"/>
        </w:rPr>
        <w:t xml:space="preserve">p. </w:t>
      </w:r>
      <w:r w:rsidRPr="00AB3569">
        <w:rPr>
          <w:lang w:val="en-US"/>
        </w:rPr>
        <w:t>21.</w:t>
      </w:r>
    </w:p>
  </w:footnote>
  <w:footnote w:id="102">
    <w:p w14:paraId="106EC5AC" w14:textId="75273DAE" w:rsidR="003230B7" w:rsidRPr="00AC4E7A" w:rsidRDefault="003230B7" w:rsidP="006D208C">
      <w:pPr>
        <w:pStyle w:val="FootnoteText"/>
        <w:rPr>
          <w:lang w:val="en-US"/>
        </w:rPr>
      </w:pPr>
      <w:r w:rsidRPr="00AB3569">
        <w:rPr>
          <w:rStyle w:val="FootnoteReference"/>
        </w:rPr>
        <w:footnoteRef/>
      </w:r>
      <w:r w:rsidRPr="00AB3569">
        <w:rPr>
          <w:lang w:val="en-US"/>
        </w:rPr>
        <w:t xml:space="preserve"> </w:t>
      </w:r>
      <w:r w:rsidR="00834341" w:rsidRPr="00AB3569">
        <w:rPr>
          <w:lang w:val="en-US"/>
        </w:rPr>
        <w:t>Kelemen, “</w:t>
      </w:r>
      <w:r w:rsidRPr="00AB3569">
        <w:rPr>
          <w:lang w:val="en-US"/>
        </w:rPr>
        <w:t>Suing for Europe Adversarial L</w:t>
      </w:r>
      <w:r w:rsidR="00834341" w:rsidRPr="00AB3569">
        <w:rPr>
          <w:lang w:val="en-US"/>
        </w:rPr>
        <w:t>egalism and European Governance”</w:t>
      </w:r>
      <w:r w:rsidRPr="00AB3569">
        <w:rPr>
          <w:lang w:val="en-US"/>
        </w:rPr>
        <w:t xml:space="preserve"> 39 Comparative Political Studies</w:t>
      </w:r>
      <w:r w:rsidR="00834341" w:rsidRPr="00AB3569">
        <w:rPr>
          <w:lang w:val="en-US"/>
        </w:rPr>
        <w:t xml:space="preserve"> (2006)</w:t>
      </w:r>
      <w:r w:rsidRPr="00AB3569">
        <w:rPr>
          <w:lang w:val="en-US"/>
        </w:rPr>
        <w:t xml:space="preserve"> 101</w:t>
      </w:r>
      <w:r w:rsidR="00834341" w:rsidRPr="00AB3569">
        <w:rPr>
          <w:lang w:val="en-US"/>
        </w:rPr>
        <w:t>-127</w:t>
      </w:r>
      <w:r w:rsidRPr="00AB3569">
        <w:rPr>
          <w:lang w:val="en-US"/>
        </w:rPr>
        <w:t>,</w:t>
      </w:r>
      <w:r w:rsidR="00834341" w:rsidRPr="00AB3569">
        <w:rPr>
          <w:lang w:val="en-US"/>
        </w:rPr>
        <w:t xml:space="preserve"> at</w:t>
      </w:r>
      <w:r w:rsidRPr="00AB3569">
        <w:rPr>
          <w:lang w:val="en-US"/>
        </w:rPr>
        <w:t xml:space="preserve"> 121.</w:t>
      </w:r>
      <w:bookmarkStart w:id="0" w:name="_GoBack"/>
      <w:bookmarkEnd w:id="0"/>
      <w:r w:rsidRPr="00D10A72">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791C"/>
    <w:multiLevelType w:val="multilevel"/>
    <w:tmpl w:val="351E4D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D91330"/>
    <w:multiLevelType w:val="multilevel"/>
    <w:tmpl w:val="4F2E09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60"/>
    <w:rsid w:val="00000AA5"/>
    <w:rsid w:val="0000243B"/>
    <w:rsid w:val="00003AE6"/>
    <w:rsid w:val="00003E43"/>
    <w:rsid w:val="00004A6F"/>
    <w:rsid w:val="000057E3"/>
    <w:rsid w:val="00007911"/>
    <w:rsid w:val="00012BA7"/>
    <w:rsid w:val="000136B5"/>
    <w:rsid w:val="000149FD"/>
    <w:rsid w:val="00015D4D"/>
    <w:rsid w:val="00016F20"/>
    <w:rsid w:val="00025617"/>
    <w:rsid w:val="00031FF5"/>
    <w:rsid w:val="00034C04"/>
    <w:rsid w:val="00034D6F"/>
    <w:rsid w:val="00041385"/>
    <w:rsid w:val="000436E9"/>
    <w:rsid w:val="0004651E"/>
    <w:rsid w:val="0004684E"/>
    <w:rsid w:val="000469FD"/>
    <w:rsid w:val="00051729"/>
    <w:rsid w:val="0005198D"/>
    <w:rsid w:val="000551D5"/>
    <w:rsid w:val="000608CE"/>
    <w:rsid w:val="00064EDB"/>
    <w:rsid w:val="0006602E"/>
    <w:rsid w:val="00067B8B"/>
    <w:rsid w:val="00067F0C"/>
    <w:rsid w:val="000702AD"/>
    <w:rsid w:val="00072D10"/>
    <w:rsid w:val="000763F8"/>
    <w:rsid w:val="00082EA5"/>
    <w:rsid w:val="00084E53"/>
    <w:rsid w:val="00090146"/>
    <w:rsid w:val="00090660"/>
    <w:rsid w:val="00090798"/>
    <w:rsid w:val="00093FD8"/>
    <w:rsid w:val="00096A5C"/>
    <w:rsid w:val="000A0E9B"/>
    <w:rsid w:val="000A7499"/>
    <w:rsid w:val="000B0DFD"/>
    <w:rsid w:val="000B2036"/>
    <w:rsid w:val="000B43CD"/>
    <w:rsid w:val="000B748E"/>
    <w:rsid w:val="000B76FA"/>
    <w:rsid w:val="000B7BB2"/>
    <w:rsid w:val="000C1B04"/>
    <w:rsid w:val="000C2C09"/>
    <w:rsid w:val="000C61BC"/>
    <w:rsid w:val="000C7072"/>
    <w:rsid w:val="000D0A3E"/>
    <w:rsid w:val="000D0ADE"/>
    <w:rsid w:val="000D2FBD"/>
    <w:rsid w:val="000D55F0"/>
    <w:rsid w:val="000D5FA5"/>
    <w:rsid w:val="000D6EF0"/>
    <w:rsid w:val="000D756B"/>
    <w:rsid w:val="000E6543"/>
    <w:rsid w:val="000E6FE0"/>
    <w:rsid w:val="000E7744"/>
    <w:rsid w:val="000F21D5"/>
    <w:rsid w:val="00102576"/>
    <w:rsid w:val="00102DCF"/>
    <w:rsid w:val="001036A6"/>
    <w:rsid w:val="00103F64"/>
    <w:rsid w:val="00107790"/>
    <w:rsid w:val="00107ECB"/>
    <w:rsid w:val="001140B2"/>
    <w:rsid w:val="00116281"/>
    <w:rsid w:val="00117B22"/>
    <w:rsid w:val="00120177"/>
    <w:rsid w:val="0012099B"/>
    <w:rsid w:val="00121EC6"/>
    <w:rsid w:val="0012687D"/>
    <w:rsid w:val="00132E73"/>
    <w:rsid w:val="00133BEB"/>
    <w:rsid w:val="00133C5C"/>
    <w:rsid w:val="0013438D"/>
    <w:rsid w:val="001404DF"/>
    <w:rsid w:val="0014185A"/>
    <w:rsid w:val="0014450E"/>
    <w:rsid w:val="001466A8"/>
    <w:rsid w:val="0015481D"/>
    <w:rsid w:val="00154B36"/>
    <w:rsid w:val="001559E5"/>
    <w:rsid w:val="0017200D"/>
    <w:rsid w:val="00172208"/>
    <w:rsid w:val="00172390"/>
    <w:rsid w:val="0017281E"/>
    <w:rsid w:val="00174785"/>
    <w:rsid w:val="001753E9"/>
    <w:rsid w:val="0018278A"/>
    <w:rsid w:val="00182BDF"/>
    <w:rsid w:val="00192F2D"/>
    <w:rsid w:val="0019605C"/>
    <w:rsid w:val="00196519"/>
    <w:rsid w:val="001A2709"/>
    <w:rsid w:val="001A4F3B"/>
    <w:rsid w:val="001A6CE8"/>
    <w:rsid w:val="001B12C9"/>
    <w:rsid w:val="001B1F57"/>
    <w:rsid w:val="001B2957"/>
    <w:rsid w:val="001C3AB3"/>
    <w:rsid w:val="001C4D49"/>
    <w:rsid w:val="001C58E1"/>
    <w:rsid w:val="001D1D05"/>
    <w:rsid w:val="001D39F9"/>
    <w:rsid w:val="001D7BBA"/>
    <w:rsid w:val="001E2365"/>
    <w:rsid w:val="001E6A6E"/>
    <w:rsid w:val="001F3481"/>
    <w:rsid w:val="001F49C5"/>
    <w:rsid w:val="001F796F"/>
    <w:rsid w:val="002048AA"/>
    <w:rsid w:val="002112E1"/>
    <w:rsid w:val="0021148E"/>
    <w:rsid w:val="002151D1"/>
    <w:rsid w:val="00216765"/>
    <w:rsid w:val="0022498B"/>
    <w:rsid w:val="00230FC3"/>
    <w:rsid w:val="0023196C"/>
    <w:rsid w:val="00232CDE"/>
    <w:rsid w:val="00234763"/>
    <w:rsid w:val="0023626B"/>
    <w:rsid w:val="00236549"/>
    <w:rsid w:val="00236601"/>
    <w:rsid w:val="00237AAB"/>
    <w:rsid w:val="00240049"/>
    <w:rsid w:val="00243C9F"/>
    <w:rsid w:val="00251F6F"/>
    <w:rsid w:val="002558ED"/>
    <w:rsid w:val="00264048"/>
    <w:rsid w:val="0026610F"/>
    <w:rsid w:val="0026715C"/>
    <w:rsid w:val="00267C76"/>
    <w:rsid w:val="00272087"/>
    <w:rsid w:val="00273CD1"/>
    <w:rsid w:val="002744E1"/>
    <w:rsid w:val="00280163"/>
    <w:rsid w:val="0028080F"/>
    <w:rsid w:val="00281BE3"/>
    <w:rsid w:val="0028374E"/>
    <w:rsid w:val="00284FF6"/>
    <w:rsid w:val="00294C68"/>
    <w:rsid w:val="0029519D"/>
    <w:rsid w:val="00295661"/>
    <w:rsid w:val="002A136D"/>
    <w:rsid w:val="002A61F6"/>
    <w:rsid w:val="002A683B"/>
    <w:rsid w:val="002A7FA9"/>
    <w:rsid w:val="002B2D98"/>
    <w:rsid w:val="002B4FC5"/>
    <w:rsid w:val="002B55B1"/>
    <w:rsid w:val="002C1C45"/>
    <w:rsid w:val="002C2D04"/>
    <w:rsid w:val="002D28E7"/>
    <w:rsid w:val="002D4891"/>
    <w:rsid w:val="002D4FEC"/>
    <w:rsid w:val="002D6B7F"/>
    <w:rsid w:val="002D7D57"/>
    <w:rsid w:val="002E073A"/>
    <w:rsid w:val="002E2E06"/>
    <w:rsid w:val="002E3B69"/>
    <w:rsid w:val="002E6048"/>
    <w:rsid w:val="002F1764"/>
    <w:rsid w:val="002F3481"/>
    <w:rsid w:val="002F5DAD"/>
    <w:rsid w:val="00300EF2"/>
    <w:rsid w:val="00307924"/>
    <w:rsid w:val="00311BF4"/>
    <w:rsid w:val="00316461"/>
    <w:rsid w:val="00316CFF"/>
    <w:rsid w:val="00320333"/>
    <w:rsid w:val="00320856"/>
    <w:rsid w:val="00322C7E"/>
    <w:rsid w:val="003230B7"/>
    <w:rsid w:val="003241DC"/>
    <w:rsid w:val="0033095D"/>
    <w:rsid w:val="00340828"/>
    <w:rsid w:val="00340CB5"/>
    <w:rsid w:val="00344F2F"/>
    <w:rsid w:val="003463D6"/>
    <w:rsid w:val="00346BF0"/>
    <w:rsid w:val="0035286F"/>
    <w:rsid w:val="00352F6C"/>
    <w:rsid w:val="003565BE"/>
    <w:rsid w:val="00356BA1"/>
    <w:rsid w:val="00356DC2"/>
    <w:rsid w:val="00362184"/>
    <w:rsid w:val="00362BDB"/>
    <w:rsid w:val="00363FE7"/>
    <w:rsid w:val="00364E19"/>
    <w:rsid w:val="00364FD7"/>
    <w:rsid w:val="00366153"/>
    <w:rsid w:val="00370C17"/>
    <w:rsid w:val="003733D1"/>
    <w:rsid w:val="00374FC4"/>
    <w:rsid w:val="00375E6D"/>
    <w:rsid w:val="003806F7"/>
    <w:rsid w:val="0038555A"/>
    <w:rsid w:val="00385820"/>
    <w:rsid w:val="0038672E"/>
    <w:rsid w:val="00386A0D"/>
    <w:rsid w:val="00386FE4"/>
    <w:rsid w:val="00394796"/>
    <w:rsid w:val="003951A9"/>
    <w:rsid w:val="00395DE9"/>
    <w:rsid w:val="003960BE"/>
    <w:rsid w:val="00396C49"/>
    <w:rsid w:val="003A1D30"/>
    <w:rsid w:val="003A1DD7"/>
    <w:rsid w:val="003A7FCA"/>
    <w:rsid w:val="003B34A7"/>
    <w:rsid w:val="003C236E"/>
    <w:rsid w:val="003C2462"/>
    <w:rsid w:val="003C27D4"/>
    <w:rsid w:val="003C3A20"/>
    <w:rsid w:val="003C58E6"/>
    <w:rsid w:val="003D462D"/>
    <w:rsid w:val="003D690F"/>
    <w:rsid w:val="003D7DA9"/>
    <w:rsid w:val="003E7199"/>
    <w:rsid w:val="004002F7"/>
    <w:rsid w:val="00400AA7"/>
    <w:rsid w:val="00401983"/>
    <w:rsid w:val="0040328B"/>
    <w:rsid w:val="00407EEF"/>
    <w:rsid w:val="004203DF"/>
    <w:rsid w:val="004205A9"/>
    <w:rsid w:val="004254E5"/>
    <w:rsid w:val="00427FC4"/>
    <w:rsid w:val="00431B84"/>
    <w:rsid w:val="00440353"/>
    <w:rsid w:val="00444ABD"/>
    <w:rsid w:val="004455DD"/>
    <w:rsid w:val="00447BCF"/>
    <w:rsid w:val="004545C9"/>
    <w:rsid w:val="00455740"/>
    <w:rsid w:val="004569A3"/>
    <w:rsid w:val="00456B1A"/>
    <w:rsid w:val="004579CC"/>
    <w:rsid w:val="00463CC1"/>
    <w:rsid w:val="00465232"/>
    <w:rsid w:val="0047087A"/>
    <w:rsid w:val="00473062"/>
    <w:rsid w:val="00474622"/>
    <w:rsid w:val="0048045C"/>
    <w:rsid w:val="00482C31"/>
    <w:rsid w:val="0049734D"/>
    <w:rsid w:val="004A1523"/>
    <w:rsid w:val="004A4AF9"/>
    <w:rsid w:val="004A5A66"/>
    <w:rsid w:val="004B14A1"/>
    <w:rsid w:val="004B1E31"/>
    <w:rsid w:val="004B3853"/>
    <w:rsid w:val="004B4099"/>
    <w:rsid w:val="004B4DA9"/>
    <w:rsid w:val="004B5281"/>
    <w:rsid w:val="004B5C64"/>
    <w:rsid w:val="004B62E0"/>
    <w:rsid w:val="004B63BA"/>
    <w:rsid w:val="004C06B4"/>
    <w:rsid w:val="004C0934"/>
    <w:rsid w:val="004C2724"/>
    <w:rsid w:val="004C432B"/>
    <w:rsid w:val="004C7E2D"/>
    <w:rsid w:val="004D0661"/>
    <w:rsid w:val="004D558E"/>
    <w:rsid w:val="004D6003"/>
    <w:rsid w:val="004E0443"/>
    <w:rsid w:val="004E1A3C"/>
    <w:rsid w:val="004E6032"/>
    <w:rsid w:val="004E7907"/>
    <w:rsid w:val="004E7A9A"/>
    <w:rsid w:val="004F3988"/>
    <w:rsid w:val="004F583B"/>
    <w:rsid w:val="00503595"/>
    <w:rsid w:val="00506723"/>
    <w:rsid w:val="00506CB7"/>
    <w:rsid w:val="00517173"/>
    <w:rsid w:val="005225D0"/>
    <w:rsid w:val="0052383C"/>
    <w:rsid w:val="0052608A"/>
    <w:rsid w:val="005304A6"/>
    <w:rsid w:val="00530E07"/>
    <w:rsid w:val="005329DD"/>
    <w:rsid w:val="00534825"/>
    <w:rsid w:val="00534DFC"/>
    <w:rsid w:val="00544E41"/>
    <w:rsid w:val="00545906"/>
    <w:rsid w:val="00545C67"/>
    <w:rsid w:val="00546B5E"/>
    <w:rsid w:val="0055212B"/>
    <w:rsid w:val="00552257"/>
    <w:rsid w:val="00553DFC"/>
    <w:rsid w:val="00556A66"/>
    <w:rsid w:val="005604DD"/>
    <w:rsid w:val="005609F6"/>
    <w:rsid w:val="00562494"/>
    <w:rsid w:val="00566FB0"/>
    <w:rsid w:val="00570643"/>
    <w:rsid w:val="00572BF7"/>
    <w:rsid w:val="00573681"/>
    <w:rsid w:val="00574933"/>
    <w:rsid w:val="00581805"/>
    <w:rsid w:val="005818A8"/>
    <w:rsid w:val="005831C1"/>
    <w:rsid w:val="00586FDE"/>
    <w:rsid w:val="00593FB6"/>
    <w:rsid w:val="005A23A0"/>
    <w:rsid w:val="005A4658"/>
    <w:rsid w:val="005A4ECF"/>
    <w:rsid w:val="005A543E"/>
    <w:rsid w:val="005A5C82"/>
    <w:rsid w:val="005A6097"/>
    <w:rsid w:val="005B28C1"/>
    <w:rsid w:val="005B3EB3"/>
    <w:rsid w:val="005B49A6"/>
    <w:rsid w:val="005C0111"/>
    <w:rsid w:val="005C08B0"/>
    <w:rsid w:val="005C41D4"/>
    <w:rsid w:val="005C5011"/>
    <w:rsid w:val="005C5570"/>
    <w:rsid w:val="005D1270"/>
    <w:rsid w:val="005D2140"/>
    <w:rsid w:val="005D4F23"/>
    <w:rsid w:val="005D7C9B"/>
    <w:rsid w:val="005E04D5"/>
    <w:rsid w:val="005E247E"/>
    <w:rsid w:val="005E5626"/>
    <w:rsid w:val="005E59FE"/>
    <w:rsid w:val="005E70DF"/>
    <w:rsid w:val="005E787D"/>
    <w:rsid w:val="005F342B"/>
    <w:rsid w:val="005F3BC7"/>
    <w:rsid w:val="00600559"/>
    <w:rsid w:val="00600BE3"/>
    <w:rsid w:val="00601851"/>
    <w:rsid w:val="00602A1E"/>
    <w:rsid w:val="00611680"/>
    <w:rsid w:val="006248FB"/>
    <w:rsid w:val="006257DA"/>
    <w:rsid w:val="00633D1F"/>
    <w:rsid w:val="00634C63"/>
    <w:rsid w:val="00646D6B"/>
    <w:rsid w:val="006475B7"/>
    <w:rsid w:val="00651EE7"/>
    <w:rsid w:val="006621F4"/>
    <w:rsid w:val="0066695B"/>
    <w:rsid w:val="00673354"/>
    <w:rsid w:val="0067340E"/>
    <w:rsid w:val="00674EED"/>
    <w:rsid w:val="006765A6"/>
    <w:rsid w:val="00677055"/>
    <w:rsid w:val="00680CEE"/>
    <w:rsid w:val="0068424D"/>
    <w:rsid w:val="00684D3C"/>
    <w:rsid w:val="0069240C"/>
    <w:rsid w:val="00692469"/>
    <w:rsid w:val="00693083"/>
    <w:rsid w:val="00694068"/>
    <w:rsid w:val="00694FAC"/>
    <w:rsid w:val="006A2320"/>
    <w:rsid w:val="006A2330"/>
    <w:rsid w:val="006B2CAE"/>
    <w:rsid w:val="006B7645"/>
    <w:rsid w:val="006B7A9F"/>
    <w:rsid w:val="006C168C"/>
    <w:rsid w:val="006C1FF8"/>
    <w:rsid w:val="006C21FF"/>
    <w:rsid w:val="006C2A86"/>
    <w:rsid w:val="006D208C"/>
    <w:rsid w:val="006D257C"/>
    <w:rsid w:val="006D2F19"/>
    <w:rsid w:val="006D55C1"/>
    <w:rsid w:val="006D6181"/>
    <w:rsid w:val="006E099B"/>
    <w:rsid w:val="006E621A"/>
    <w:rsid w:val="006E6BE8"/>
    <w:rsid w:val="006F3EFA"/>
    <w:rsid w:val="007010A1"/>
    <w:rsid w:val="0070409D"/>
    <w:rsid w:val="00712454"/>
    <w:rsid w:val="00714215"/>
    <w:rsid w:val="007149E6"/>
    <w:rsid w:val="00715774"/>
    <w:rsid w:val="00716B74"/>
    <w:rsid w:val="00720631"/>
    <w:rsid w:val="0072285E"/>
    <w:rsid w:val="007254B3"/>
    <w:rsid w:val="007269A7"/>
    <w:rsid w:val="00730A78"/>
    <w:rsid w:val="00731B58"/>
    <w:rsid w:val="00732EA1"/>
    <w:rsid w:val="00734FA5"/>
    <w:rsid w:val="0074152E"/>
    <w:rsid w:val="00742AFA"/>
    <w:rsid w:val="00744E38"/>
    <w:rsid w:val="00747055"/>
    <w:rsid w:val="00747141"/>
    <w:rsid w:val="00754520"/>
    <w:rsid w:val="00754EA8"/>
    <w:rsid w:val="00765498"/>
    <w:rsid w:val="00770FF3"/>
    <w:rsid w:val="007749A5"/>
    <w:rsid w:val="00775167"/>
    <w:rsid w:val="00787247"/>
    <w:rsid w:val="00792375"/>
    <w:rsid w:val="0079515E"/>
    <w:rsid w:val="00795BA8"/>
    <w:rsid w:val="007A04AA"/>
    <w:rsid w:val="007A1D9C"/>
    <w:rsid w:val="007A3313"/>
    <w:rsid w:val="007A73DF"/>
    <w:rsid w:val="007B3529"/>
    <w:rsid w:val="007B4E66"/>
    <w:rsid w:val="007B6D4B"/>
    <w:rsid w:val="007C4F9C"/>
    <w:rsid w:val="007C7D85"/>
    <w:rsid w:val="007D0539"/>
    <w:rsid w:val="007D19A8"/>
    <w:rsid w:val="007E2395"/>
    <w:rsid w:val="007E5DBA"/>
    <w:rsid w:val="007E7342"/>
    <w:rsid w:val="007F1365"/>
    <w:rsid w:val="007F3C7D"/>
    <w:rsid w:val="007F4A13"/>
    <w:rsid w:val="00801BD9"/>
    <w:rsid w:val="0080276A"/>
    <w:rsid w:val="008039A6"/>
    <w:rsid w:val="00803F65"/>
    <w:rsid w:val="00810790"/>
    <w:rsid w:val="00811FE3"/>
    <w:rsid w:val="00813480"/>
    <w:rsid w:val="00815361"/>
    <w:rsid w:val="00815423"/>
    <w:rsid w:val="008160CD"/>
    <w:rsid w:val="00816898"/>
    <w:rsid w:val="00816C6D"/>
    <w:rsid w:val="00821ABD"/>
    <w:rsid w:val="00826F4C"/>
    <w:rsid w:val="00827335"/>
    <w:rsid w:val="008317BE"/>
    <w:rsid w:val="00834341"/>
    <w:rsid w:val="008367AC"/>
    <w:rsid w:val="00836BDC"/>
    <w:rsid w:val="00836DD2"/>
    <w:rsid w:val="008420D9"/>
    <w:rsid w:val="0084492F"/>
    <w:rsid w:val="00846C53"/>
    <w:rsid w:val="008505A2"/>
    <w:rsid w:val="00855730"/>
    <w:rsid w:val="008558D1"/>
    <w:rsid w:val="008604E7"/>
    <w:rsid w:val="00860C86"/>
    <w:rsid w:val="00860FDE"/>
    <w:rsid w:val="00862960"/>
    <w:rsid w:val="00863A73"/>
    <w:rsid w:val="008640FA"/>
    <w:rsid w:val="00865A4F"/>
    <w:rsid w:val="00867903"/>
    <w:rsid w:val="0088379D"/>
    <w:rsid w:val="00886F7C"/>
    <w:rsid w:val="00892C3B"/>
    <w:rsid w:val="008A0D31"/>
    <w:rsid w:val="008B152F"/>
    <w:rsid w:val="008B2AF1"/>
    <w:rsid w:val="008B2CBF"/>
    <w:rsid w:val="008B42B8"/>
    <w:rsid w:val="008B42BB"/>
    <w:rsid w:val="008B4A9B"/>
    <w:rsid w:val="008B4ABE"/>
    <w:rsid w:val="008C1AAD"/>
    <w:rsid w:val="008C2680"/>
    <w:rsid w:val="008C467E"/>
    <w:rsid w:val="008C5D9C"/>
    <w:rsid w:val="008C65E7"/>
    <w:rsid w:val="008E20C2"/>
    <w:rsid w:val="008E2347"/>
    <w:rsid w:val="008E3254"/>
    <w:rsid w:val="008E5823"/>
    <w:rsid w:val="008E6D2F"/>
    <w:rsid w:val="008F120C"/>
    <w:rsid w:val="008F325F"/>
    <w:rsid w:val="008F3445"/>
    <w:rsid w:val="008F4A14"/>
    <w:rsid w:val="008F5FCF"/>
    <w:rsid w:val="0090148C"/>
    <w:rsid w:val="00901979"/>
    <w:rsid w:val="009056FF"/>
    <w:rsid w:val="009135F5"/>
    <w:rsid w:val="0091661F"/>
    <w:rsid w:val="0092701B"/>
    <w:rsid w:val="0093077E"/>
    <w:rsid w:val="00932E3E"/>
    <w:rsid w:val="00937C2B"/>
    <w:rsid w:val="00940760"/>
    <w:rsid w:val="00941637"/>
    <w:rsid w:val="00946CFA"/>
    <w:rsid w:val="009501E0"/>
    <w:rsid w:val="009521B7"/>
    <w:rsid w:val="0095334E"/>
    <w:rsid w:val="0096388A"/>
    <w:rsid w:val="00963FBE"/>
    <w:rsid w:val="00966B1C"/>
    <w:rsid w:val="00967364"/>
    <w:rsid w:val="0097073E"/>
    <w:rsid w:val="00971F30"/>
    <w:rsid w:val="00980115"/>
    <w:rsid w:val="00980586"/>
    <w:rsid w:val="00981749"/>
    <w:rsid w:val="0098372F"/>
    <w:rsid w:val="009846E9"/>
    <w:rsid w:val="0098787A"/>
    <w:rsid w:val="00991453"/>
    <w:rsid w:val="0099186E"/>
    <w:rsid w:val="009935A2"/>
    <w:rsid w:val="00993DD3"/>
    <w:rsid w:val="009978C7"/>
    <w:rsid w:val="009A3CB6"/>
    <w:rsid w:val="009A49E8"/>
    <w:rsid w:val="009A4D37"/>
    <w:rsid w:val="009A751A"/>
    <w:rsid w:val="009B2EDC"/>
    <w:rsid w:val="009B6105"/>
    <w:rsid w:val="009C4B06"/>
    <w:rsid w:val="009C76BD"/>
    <w:rsid w:val="009D07AF"/>
    <w:rsid w:val="009D0ED3"/>
    <w:rsid w:val="009D1CC8"/>
    <w:rsid w:val="009D2084"/>
    <w:rsid w:val="009E13BE"/>
    <w:rsid w:val="009E1627"/>
    <w:rsid w:val="009E4DC7"/>
    <w:rsid w:val="009E63E4"/>
    <w:rsid w:val="009E78E4"/>
    <w:rsid w:val="009F05C9"/>
    <w:rsid w:val="009F409D"/>
    <w:rsid w:val="009F4691"/>
    <w:rsid w:val="009F4E7B"/>
    <w:rsid w:val="00A04647"/>
    <w:rsid w:val="00A06826"/>
    <w:rsid w:val="00A07E18"/>
    <w:rsid w:val="00A1215B"/>
    <w:rsid w:val="00A14EF8"/>
    <w:rsid w:val="00A166DB"/>
    <w:rsid w:val="00A1675B"/>
    <w:rsid w:val="00A17714"/>
    <w:rsid w:val="00A200EF"/>
    <w:rsid w:val="00A218F5"/>
    <w:rsid w:val="00A239A9"/>
    <w:rsid w:val="00A2755F"/>
    <w:rsid w:val="00A36D99"/>
    <w:rsid w:val="00A4213B"/>
    <w:rsid w:val="00A504CE"/>
    <w:rsid w:val="00A53B56"/>
    <w:rsid w:val="00A54770"/>
    <w:rsid w:val="00A55CE4"/>
    <w:rsid w:val="00A67F11"/>
    <w:rsid w:val="00A7020F"/>
    <w:rsid w:val="00A70B27"/>
    <w:rsid w:val="00A7246C"/>
    <w:rsid w:val="00A82C1C"/>
    <w:rsid w:val="00A84E9C"/>
    <w:rsid w:val="00A87621"/>
    <w:rsid w:val="00A93B6F"/>
    <w:rsid w:val="00A94EBD"/>
    <w:rsid w:val="00A977C7"/>
    <w:rsid w:val="00AA2D96"/>
    <w:rsid w:val="00AA2DDE"/>
    <w:rsid w:val="00AA715C"/>
    <w:rsid w:val="00AB0A7C"/>
    <w:rsid w:val="00AB3569"/>
    <w:rsid w:val="00AB5FFA"/>
    <w:rsid w:val="00AB729B"/>
    <w:rsid w:val="00AC0BB8"/>
    <w:rsid w:val="00AC1C34"/>
    <w:rsid w:val="00AC1D2D"/>
    <w:rsid w:val="00AC5091"/>
    <w:rsid w:val="00AC7170"/>
    <w:rsid w:val="00AD373D"/>
    <w:rsid w:val="00AD4477"/>
    <w:rsid w:val="00AE18DA"/>
    <w:rsid w:val="00AE3CF6"/>
    <w:rsid w:val="00AE6AA8"/>
    <w:rsid w:val="00AF1458"/>
    <w:rsid w:val="00AF3A54"/>
    <w:rsid w:val="00AF4DE8"/>
    <w:rsid w:val="00AF6321"/>
    <w:rsid w:val="00AF755B"/>
    <w:rsid w:val="00B04A0D"/>
    <w:rsid w:val="00B06667"/>
    <w:rsid w:val="00B10EDC"/>
    <w:rsid w:val="00B11ADF"/>
    <w:rsid w:val="00B135F4"/>
    <w:rsid w:val="00B1495A"/>
    <w:rsid w:val="00B16709"/>
    <w:rsid w:val="00B1759C"/>
    <w:rsid w:val="00B1783B"/>
    <w:rsid w:val="00B17DD8"/>
    <w:rsid w:val="00B242CA"/>
    <w:rsid w:val="00B2587A"/>
    <w:rsid w:val="00B25D4B"/>
    <w:rsid w:val="00B31C16"/>
    <w:rsid w:val="00B3262E"/>
    <w:rsid w:val="00B332A8"/>
    <w:rsid w:val="00B36EF5"/>
    <w:rsid w:val="00B36FD4"/>
    <w:rsid w:val="00B40DA4"/>
    <w:rsid w:val="00B45454"/>
    <w:rsid w:val="00B464DF"/>
    <w:rsid w:val="00B52463"/>
    <w:rsid w:val="00B569F2"/>
    <w:rsid w:val="00B631CB"/>
    <w:rsid w:val="00B6370A"/>
    <w:rsid w:val="00B64858"/>
    <w:rsid w:val="00B65066"/>
    <w:rsid w:val="00B701C1"/>
    <w:rsid w:val="00B71785"/>
    <w:rsid w:val="00B720E8"/>
    <w:rsid w:val="00B722CB"/>
    <w:rsid w:val="00B73464"/>
    <w:rsid w:val="00B7436B"/>
    <w:rsid w:val="00B81D86"/>
    <w:rsid w:val="00B832AE"/>
    <w:rsid w:val="00B839BD"/>
    <w:rsid w:val="00B9093F"/>
    <w:rsid w:val="00B910F0"/>
    <w:rsid w:val="00B91944"/>
    <w:rsid w:val="00B93889"/>
    <w:rsid w:val="00B941A0"/>
    <w:rsid w:val="00B96B1B"/>
    <w:rsid w:val="00B979CF"/>
    <w:rsid w:val="00BA314F"/>
    <w:rsid w:val="00BA5F88"/>
    <w:rsid w:val="00BA790F"/>
    <w:rsid w:val="00BA7A47"/>
    <w:rsid w:val="00BB432D"/>
    <w:rsid w:val="00BB6353"/>
    <w:rsid w:val="00BB6CDC"/>
    <w:rsid w:val="00BB6D97"/>
    <w:rsid w:val="00BB7AD2"/>
    <w:rsid w:val="00BC0749"/>
    <w:rsid w:val="00BC0A41"/>
    <w:rsid w:val="00BC263A"/>
    <w:rsid w:val="00BC752A"/>
    <w:rsid w:val="00BD22EE"/>
    <w:rsid w:val="00BD3AC2"/>
    <w:rsid w:val="00BD41D4"/>
    <w:rsid w:val="00BD5289"/>
    <w:rsid w:val="00BD59D8"/>
    <w:rsid w:val="00BE06F7"/>
    <w:rsid w:val="00BE10A1"/>
    <w:rsid w:val="00BE5EF5"/>
    <w:rsid w:val="00BE5FC8"/>
    <w:rsid w:val="00BF1561"/>
    <w:rsid w:val="00BF27D9"/>
    <w:rsid w:val="00C07D0E"/>
    <w:rsid w:val="00C13700"/>
    <w:rsid w:val="00C152E7"/>
    <w:rsid w:val="00C16DB2"/>
    <w:rsid w:val="00C1797F"/>
    <w:rsid w:val="00C20643"/>
    <w:rsid w:val="00C21031"/>
    <w:rsid w:val="00C2223B"/>
    <w:rsid w:val="00C239F6"/>
    <w:rsid w:val="00C246BD"/>
    <w:rsid w:val="00C26128"/>
    <w:rsid w:val="00C351AB"/>
    <w:rsid w:val="00C379DF"/>
    <w:rsid w:val="00C4049B"/>
    <w:rsid w:val="00C4508E"/>
    <w:rsid w:val="00C47F3B"/>
    <w:rsid w:val="00C5077E"/>
    <w:rsid w:val="00C54D76"/>
    <w:rsid w:val="00C55260"/>
    <w:rsid w:val="00C5603E"/>
    <w:rsid w:val="00C561A9"/>
    <w:rsid w:val="00C630F7"/>
    <w:rsid w:val="00C6647C"/>
    <w:rsid w:val="00C748B1"/>
    <w:rsid w:val="00C751A3"/>
    <w:rsid w:val="00C757BE"/>
    <w:rsid w:val="00C777CC"/>
    <w:rsid w:val="00C82266"/>
    <w:rsid w:val="00C82CAE"/>
    <w:rsid w:val="00C84BFA"/>
    <w:rsid w:val="00C85012"/>
    <w:rsid w:val="00C85A77"/>
    <w:rsid w:val="00C92BA4"/>
    <w:rsid w:val="00C92CDC"/>
    <w:rsid w:val="00C963E0"/>
    <w:rsid w:val="00C97212"/>
    <w:rsid w:val="00CA1A2D"/>
    <w:rsid w:val="00CA2D53"/>
    <w:rsid w:val="00CA50EA"/>
    <w:rsid w:val="00CA76FD"/>
    <w:rsid w:val="00CB0AAC"/>
    <w:rsid w:val="00CB0FA0"/>
    <w:rsid w:val="00CB124F"/>
    <w:rsid w:val="00CB6513"/>
    <w:rsid w:val="00CC39E8"/>
    <w:rsid w:val="00CC52BE"/>
    <w:rsid w:val="00CC62B0"/>
    <w:rsid w:val="00CC70F1"/>
    <w:rsid w:val="00CE3654"/>
    <w:rsid w:val="00CE42B3"/>
    <w:rsid w:val="00CE5C4B"/>
    <w:rsid w:val="00CE5CA3"/>
    <w:rsid w:val="00CE78D6"/>
    <w:rsid w:val="00CF0503"/>
    <w:rsid w:val="00CF4846"/>
    <w:rsid w:val="00CF4FFE"/>
    <w:rsid w:val="00CF6980"/>
    <w:rsid w:val="00D000D2"/>
    <w:rsid w:val="00D016B6"/>
    <w:rsid w:val="00D01DEF"/>
    <w:rsid w:val="00D02E4C"/>
    <w:rsid w:val="00D0388C"/>
    <w:rsid w:val="00D05BA6"/>
    <w:rsid w:val="00D10295"/>
    <w:rsid w:val="00D10A72"/>
    <w:rsid w:val="00D10E55"/>
    <w:rsid w:val="00D1766A"/>
    <w:rsid w:val="00D17DF8"/>
    <w:rsid w:val="00D21578"/>
    <w:rsid w:val="00D234E0"/>
    <w:rsid w:val="00D23816"/>
    <w:rsid w:val="00D243D3"/>
    <w:rsid w:val="00D34A53"/>
    <w:rsid w:val="00D35148"/>
    <w:rsid w:val="00D402F7"/>
    <w:rsid w:val="00D4729F"/>
    <w:rsid w:val="00D54A4D"/>
    <w:rsid w:val="00D60BAF"/>
    <w:rsid w:val="00D6687E"/>
    <w:rsid w:val="00D73B59"/>
    <w:rsid w:val="00D819A1"/>
    <w:rsid w:val="00D8258A"/>
    <w:rsid w:val="00D8360B"/>
    <w:rsid w:val="00D852A7"/>
    <w:rsid w:val="00D85CE2"/>
    <w:rsid w:val="00D8653B"/>
    <w:rsid w:val="00D92E11"/>
    <w:rsid w:val="00DA1974"/>
    <w:rsid w:val="00DA1B8B"/>
    <w:rsid w:val="00DA4B3B"/>
    <w:rsid w:val="00DA4BDF"/>
    <w:rsid w:val="00DA53C8"/>
    <w:rsid w:val="00DA5BB9"/>
    <w:rsid w:val="00DA70F0"/>
    <w:rsid w:val="00DB4AF2"/>
    <w:rsid w:val="00DB5375"/>
    <w:rsid w:val="00DB6462"/>
    <w:rsid w:val="00DC0F64"/>
    <w:rsid w:val="00DC4206"/>
    <w:rsid w:val="00DC6CD9"/>
    <w:rsid w:val="00DD4362"/>
    <w:rsid w:val="00DD5342"/>
    <w:rsid w:val="00DE76F8"/>
    <w:rsid w:val="00DF313A"/>
    <w:rsid w:val="00DF454B"/>
    <w:rsid w:val="00DF75DD"/>
    <w:rsid w:val="00DF771C"/>
    <w:rsid w:val="00E00A20"/>
    <w:rsid w:val="00E055ED"/>
    <w:rsid w:val="00E1307D"/>
    <w:rsid w:val="00E13C46"/>
    <w:rsid w:val="00E159DE"/>
    <w:rsid w:val="00E177A3"/>
    <w:rsid w:val="00E17868"/>
    <w:rsid w:val="00E22EBD"/>
    <w:rsid w:val="00E24CAF"/>
    <w:rsid w:val="00E2631B"/>
    <w:rsid w:val="00E27E82"/>
    <w:rsid w:val="00E315FC"/>
    <w:rsid w:val="00E33EAC"/>
    <w:rsid w:val="00E35F35"/>
    <w:rsid w:val="00E403D6"/>
    <w:rsid w:val="00E4189F"/>
    <w:rsid w:val="00E424BC"/>
    <w:rsid w:val="00E42F1F"/>
    <w:rsid w:val="00E43656"/>
    <w:rsid w:val="00E449C3"/>
    <w:rsid w:val="00E5112D"/>
    <w:rsid w:val="00E539CC"/>
    <w:rsid w:val="00E54AF6"/>
    <w:rsid w:val="00E578C5"/>
    <w:rsid w:val="00E6037B"/>
    <w:rsid w:val="00E703B7"/>
    <w:rsid w:val="00E72410"/>
    <w:rsid w:val="00E8009A"/>
    <w:rsid w:val="00E8102B"/>
    <w:rsid w:val="00E819B1"/>
    <w:rsid w:val="00E85C5D"/>
    <w:rsid w:val="00E93B56"/>
    <w:rsid w:val="00E93FC1"/>
    <w:rsid w:val="00E970D9"/>
    <w:rsid w:val="00EA0085"/>
    <w:rsid w:val="00EA28BE"/>
    <w:rsid w:val="00EA618C"/>
    <w:rsid w:val="00EA711E"/>
    <w:rsid w:val="00EB0472"/>
    <w:rsid w:val="00EB11D8"/>
    <w:rsid w:val="00EB2466"/>
    <w:rsid w:val="00EB37F0"/>
    <w:rsid w:val="00EC0191"/>
    <w:rsid w:val="00EC3C0C"/>
    <w:rsid w:val="00EC7EA2"/>
    <w:rsid w:val="00ED54F1"/>
    <w:rsid w:val="00ED73B4"/>
    <w:rsid w:val="00EE24B6"/>
    <w:rsid w:val="00EE42D8"/>
    <w:rsid w:val="00EF05FB"/>
    <w:rsid w:val="00EF0FFC"/>
    <w:rsid w:val="00EF22E5"/>
    <w:rsid w:val="00EF333A"/>
    <w:rsid w:val="00EF385B"/>
    <w:rsid w:val="00EF6B7C"/>
    <w:rsid w:val="00EF6F05"/>
    <w:rsid w:val="00F014B0"/>
    <w:rsid w:val="00F02F04"/>
    <w:rsid w:val="00F05045"/>
    <w:rsid w:val="00F069FE"/>
    <w:rsid w:val="00F07DD9"/>
    <w:rsid w:val="00F14E0B"/>
    <w:rsid w:val="00F21CEB"/>
    <w:rsid w:val="00F269F0"/>
    <w:rsid w:val="00F27135"/>
    <w:rsid w:val="00F33C08"/>
    <w:rsid w:val="00F33C75"/>
    <w:rsid w:val="00F340F9"/>
    <w:rsid w:val="00F36653"/>
    <w:rsid w:val="00F40014"/>
    <w:rsid w:val="00F41D79"/>
    <w:rsid w:val="00F43861"/>
    <w:rsid w:val="00F45056"/>
    <w:rsid w:val="00F53C0E"/>
    <w:rsid w:val="00F56C82"/>
    <w:rsid w:val="00F65474"/>
    <w:rsid w:val="00F6686E"/>
    <w:rsid w:val="00F726A8"/>
    <w:rsid w:val="00F746FF"/>
    <w:rsid w:val="00F75036"/>
    <w:rsid w:val="00F75247"/>
    <w:rsid w:val="00F75745"/>
    <w:rsid w:val="00F81752"/>
    <w:rsid w:val="00F81FC6"/>
    <w:rsid w:val="00F83517"/>
    <w:rsid w:val="00F866E1"/>
    <w:rsid w:val="00F90B91"/>
    <w:rsid w:val="00F91C3F"/>
    <w:rsid w:val="00F92105"/>
    <w:rsid w:val="00F9661F"/>
    <w:rsid w:val="00FA04B7"/>
    <w:rsid w:val="00FA4260"/>
    <w:rsid w:val="00FA65BC"/>
    <w:rsid w:val="00FA6922"/>
    <w:rsid w:val="00FA7F7A"/>
    <w:rsid w:val="00FC1B39"/>
    <w:rsid w:val="00FC1E9C"/>
    <w:rsid w:val="00FC4E4C"/>
    <w:rsid w:val="00FC6A3D"/>
    <w:rsid w:val="00FC6C0F"/>
    <w:rsid w:val="00FD0BB9"/>
    <w:rsid w:val="00FD0CD0"/>
    <w:rsid w:val="00FD34AB"/>
    <w:rsid w:val="00FD4883"/>
    <w:rsid w:val="00FD4A32"/>
    <w:rsid w:val="00FD66D5"/>
    <w:rsid w:val="00FE2F50"/>
    <w:rsid w:val="00FE33CE"/>
    <w:rsid w:val="00FE55A4"/>
    <w:rsid w:val="00FF05AC"/>
    <w:rsid w:val="00FF0DE3"/>
    <w:rsid w:val="00FF3D64"/>
    <w:rsid w:val="00FF6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BB7D"/>
  <w15:docId w15:val="{62FAD719-655A-4074-9E36-C25F58CC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660"/>
    <w:pPr>
      <w:ind w:left="720"/>
      <w:contextualSpacing/>
    </w:pPr>
  </w:style>
  <w:style w:type="paragraph" w:styleId="FootnoteText">
    <w:name w:val="footnote text"/>
    <w:basedOn w:val="Normal"/>
    <w:link w:val="FootnoteTextChar"/>
    <w:uiPriority w:val="99"/>
    <w:unhideWhenUsed/>
    <w:rsid w:val="00EF333A"/>
    <w:pPr>
      <w:spacing w:after="0" w:line="240" w:lineRule="auto"/>
    </w:pPr>
    <w:rPr>
      <w:sz w:val="20"/>
      <w:szCs w:val="20"/>
    </w:rPr>
  </w:style>
  <w:style w:type="character" w:customStyle="1" w:styleId="FootnoteTextChar">
    <w:name w:val="Footnote Text Char"/>
    <w:basedOn w:val="DefaultParagraphFont"/>
    <w:link w:val="FootnoteText"/>
    <w:uiPriority w:val="99"/>
    <w:rsid w:val="00EF333A"/>
    <w:rPr>
      <w:sz w:val="20"/>
      <w:szCs w:val="20"/>
    </w:rPr>
  </w:style>
  <w:style w:type="character" w:styleId="FootnoteReference">
    <w:name w:val="footnote reference"/>
    <w:basedOn w:val="DefaultParagraphFont"/>
    <w:uiPriority w:val="99"/>
    <w:unhideWhenUsed/>
    <w:rsid w:val="00EF333A"/>
    <w:rPr>
      <w:vertAlign w:val="superscript"/>
    </w:rPr>
  </w:style>
  <w:style w:type="paragraph" w:styleId="BalloonText">
    <w:name w:val="Balloon Text"/>
    <w:basedOn w:val="Normal"/>
    <w:link w:val="BalloonTextChar"/>
    <w:uiPriority w:val="99"/>
    <w:semiHidden/>
    <w:unhideWhenUsed/>
    <w:rsid w:val="00B17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DD8"/>
    <w:rPr>
      <w:rFonts w:ascii="Segoe UI" w:hAnsi="Segoe UI" w:cs="Segoe UI"/>
      <w:sz w:val="18"/>
      <w:szCs w:val="18"/>
    </w:rPr>
  </w:style>
  <w:style w:type="character" w:styleId="CommentReference">
    <w:name w:val="annotation reference"/>
    <w:basedOn w:val="DefaultParagraphFont"/>
    <w:uiPriority w:val="99"/>
    <w:semiHidden/>
    <w:unhideWhenUsed/>
    <w:rsid w:val="006E621A"/>
    <w:rPr>
      <w:sz w:val="16"/>
      <w:szCs w:val="16"/>
    </w:rPr>
  </w:style>
  <w:style w:type="paragraph" w:styleId="CommentText">
    <w:name w:val="annotation text"/>
    <w:basedOn w:val="Normal"/>
    <w:link w:val="CommentTextChar"/>
    <w:uiPriority w:val="99"/>
    <w:semiHidden/>
    <w:unhideWhenUsed/>
    <w:rsid w:val="006E621A"/>
    <w:pPr>
      <w:spacing w:line="240" w:lineRule="auto"/>
    </w:pPr>
    <w:rPr>
      <w:sz w:val="20"/>
      <w:szCs w:val="20"/>
    </w:rPr>
  </w:style>
  <w:style w:type="character" w:customStyle="1" w:styleId="CommentTextChar">
    <w:name w:val="Comment Text Char"/>
    <w:basedOn w:val="DefaultParagraphFont"/>
    <w:link w:val="CommentText"/>
    <w:uiPriority w:val="99"/>
    <w:semiHidden/>
    <w:rsid w:val="006E621A"/>
    <w:rPr>
      <w:sz w:val="20"/>
      <w:szCs w:val="20"/>
    </w:rPr>
  </w:style>
  <w:style w:type="paragraph" w:styleId="CommentSubject">
    <w:name w:val="annotation subject"/>
    <w:basedOn w:val="CommentText"/>
    <w:next w:val="CommentText"/>
    <w:link w:val="CommentSubjectChar"/>
    <w:uiPriority w:val="99"/>
    <w:semiHidden/>
    <w:unhideWhenUsed/>
    <w:rsid w:val="006E621A"/>
    <w:rPr>
      <w:b/>
      <w:bCs/>
    </w:rPr>
  </w:style>
  <w:style w:type="character" w:customStyle="1" w:styleId="CommentSubjectChar">
    <w:name w:val="Comment Subject Char"/>
    <w:basedOn w:val="CommentTextChar"/>
    <w:link w:val="CommentSubject"/>
    <w:uiPriority w:val="99"/>
    <w:semiHidden/>
    <w:rsid w:val="006E621A"/>
    <w:rPr>
      <w:b/>
      <w:bCs/>
      <w:sz w:val="20"/>
      <w:szCs w:val="20"/>
    </w:rPr>
  </w:style>
  <w:style w:type="paragraph" w:styleId="Header">
    <w:name w:val="header"/>
    <w:basedOn w:val="Normal"/>
    <w:link w:val="HeaderChar"/>
    <w:uiPriority w:val="99"/>
    <w:unhideWhenUsed/>
    <w:rsid w:val="0072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85E"/>
  </w:style>
  <w:style w:type="paragraph" w:styleId="Footer">
    <w:name w:val="footer"/>
    <w:basedOn w:val="Normal"/>
    <w:link w:val="FooterChar"/>
    <w:uiPriority w:val="99"/>
    <w:unhideWhenUsed/>
    <w:rsid w:val="0072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2451">
      <w:bodyDiv w:val="1"/>
      <w:marLeft w:val="0"/>
      <w:marRight w:val="0"/>
      <w:marTop w:val="0"/>
      <w:marBottom w:val="0"/>
      <w:divBdr>
        <w:top w:val="none" w:sz="0" w:space="0" w:color="auto"/>
        <w:left w:val="none" w:sz="0" w:space="0" w:color="auto"/>
        <w:bottom w:val="none" w:sz="0" w:space="0" w:color="auto"/>
        <w:right w:val="none" w:sz="0" w:space="0" w:color="auto"/>
      </w:divBdr>
      <w:divsChild>
        <w:div w:id="1466971275">
          <w:marLeft w:val="0"/>
          <w:marRight w:val="0"/>
          <w:marTop w:val="0"/>
          <w:marBottom w:val="0"/>
          <w:divBdr>
            <w:top w:val="none" w:sz="0" w:space="0" w:color="auto"/>
            <w:left w:val="none" w:sz="0" w:space="0" w:color="auto"/>
            <w:bottom w:val="none" w:sz="0" w:space="0" w:color="auto"/>
            <w:right w:val="none" w:sz="0" w:space="0" w:color="auto"/>
          </w:divBdr>
        </w:div>
        <w:div w:id="1178276170">
          <w:marLeft w:val="0"/>
          <w:marRight w:val="0"/>
          <w:marTop w:val="0"/>
          <w:marBottom w:val="0"/>
          <w:divBdr>
            <w:top w:val="none" w:sz="0" w:space="0" w:color="auto"/>
            <w:left w:val="none" w:sz="0" w:space="0" w:color="auto"/>
            <w:bottom w:val="none" w:sz="0" w:space="0" w:color="auto"/>
            <w:right w:val="none" w:sz="0" w:space="0" w:color="auto"/>
          </w:divBdr>
        </w:div>
        <w:div w:id="1084380990">
          <w:marLeft w:val="0"/>
          <w:marRight w:val="0"/>
          <w:marTop w:val="0"/>
          <w:marBottom w:val="0"/>
          <w:divBdr>
            <w:top w:val="none" w:sz="0" w:space="0" w:color="auto"/>
            <w:left w:val="none" w:sz="0" w:space="0" w:color="auto"/>
            <w:bottom w:val="none" w:sz="0" w:space="0" w:color="auto"/>
            <w:right w:val="none" w:sz="0" w:space="0" w:color="auto"/>
          </w:divBdr>
        </w:div>
        <w:div w:id="256595020">
          <w:marLeft w:val="0"/>
          <w:marRight w:val="0"/>
          <w:marTop w:val="0"/>
          <w:marBottom w:val="0"/>
          <w:divBdr>
            <w:top w:val="none" w:sz="0" w:space="0" w:color="auto"/>
            <w:left w:val="none" w:sz="0" w:space="0" w:color="auto"/>
            <w:bottom w:val="none" w:sz="0" w:space="0" w:color="auto"/>
            <w:right w:val="none" w:sz="0" w:space="0" w:color="auto"/>
          </w:divBdr>
        </w:div>
      </w:divsChild>
    </w:div>
    <w:div w:id="655959653">
      <w:bodyDiv w:val="1"/>
      <w:marLeft w:val="0"/>
      <w:marRight w:val="0"/>
      <w:marTop w:val="0"/>
      <w:marBottom w:val="0"/>
      <w:divBdr>
        <w:top w:val="none" w:sz="0" w:space="0" w:color="auto"/>
        <w:left w:val="none" w:sz="0" w:space="0" w:color="auto"/>
        <w:bottom w:val="none" w:sz="0" w:space="0" w:color="auto"/>
        <w:right w:val="none" w:sz="0" w:space="0" w:color="auto"/>
      </w:divBdr>
      <w:divsChild>
        <w:div w:id="2053385286">
          <w:marLeft w:val="0"/>
          <w:marRight w:val="0"/>
          <w:marTop w:val="0"/>
          <w:marBottom w:val="0"/>
          <w:divBdr>
            <w:top w:val="none" w:sz="0" w:space="0" w:color="auto"/>
            <w:left w:val="none" w:sz="0" w:space="0" w:color="auto"/>
            <w:bottom w:val="none" w:sz="0" w:space="0" w:color="auto"/>
            <w:right w:val="none" w:sz="0" w:space="0" w:color="auto"/>
          </w:divBdr>
        </w:div>
        <w:div w:id="2075229635">
          <w:marLeft w:val="0"/>
          <w:marRight w:val="0"/>
          <w:marTop w:val="0"/>
          <w:marBottom w:val="0"/>
          <w:divBdr>
            <w:top w:val="none" w:sz="0" w:space="0" w:color="auto"/>
            <w:left w:val="none" w:sz="0" w:space="0" w:color="auto"/>
            <w:bottom w:val="none" w:sz="0" w:space="0" w:color="auto"/>
            <w:right w:val="none" w:sz="0" w:space="0" w:color="auto"/>
          </w:divBdr>
        </w:div>
        <w:div w:id="1495221794">
          <w:marLeft w:val="0"/>
          <w:marRight w:val="0"/>
          <w:marTop w:val="0"/>
          <w:marBottom w:val="0"/>
          <w:divBdr>
            <w:top w:val="none" w:sz="0" w:space="0" w:color="auto"/>
            <w:left w:val="none" w:sz="0" w:space="0" w:color="auto"/>
            <w:bottom w:val="none" w:sz="0" w:space="0" w:color="auto"/>
            <w:right w:val="none" w:sz="0" w:space="0" w:color="auto"/>
          </w:divBdr>
        </w:div>
      </w:divsChild>
    </w:div>
    <w:div w:id="990595784">
      <w:bodyDiv w:val="1"/>
      <w:marLeft w:val="0"/>
      <w:marRight w:val="0"/>
      <w:marTop w:val="0"/>
      <w:marBottom w:val="0"/>
      <w:divBdr>
        <w:top w:val="none" w:sz="0" w:space="0" w:color="auto"/>
        <w:left w:val="none" w:sz="0" w:space="0" w:color="auto"/>
        <w:bottom w:val="none" w:sz="0" w:space="0" w:color="auto"/>
        <w:right w:val="none" w:sz="0" w:space="0" w:color="auto"/>
      </w:divBdr>
      <w:divsChild>
        <w:div w:id="225994876">
          <w:marLeft w:val="0"/>
          <w:marRight w:val="0"/>
          <w:marTop w:val="0"/>
          <w:marBottom w:val="0"/>
          <w:divBdr>
            <w:top w:val="none" w:sz="0" w:space="0" w:color="auto"/>
            <w:left w:val="none" w:sz="0" w:space="0" w:color="auto"/>
            <w:bottom w:val="none" w:sz="0" w:space="0" w:color="auto"/>
            <w:right w:val="none" w:sz="0" w:space="0" w:color="auto"/>
          </w:divBdr>
        </w:div>
        <w:div w:id="326642135">
          <w:marLeft w:val="0"/>
          <w:marRight w:val="0"/>
          <w:marTop w:val="0"/>
          <w:marBottom w:val="0"/>
          <w:divBdr>
            <w:top w:val="none" w:sz="0" w:space="0" w:color="auto"/>
            <w:left w:val="none" w:sz="0" w:space="0" w:color="auto"/>
            <w:bottom w:val="none" w:sz="0" w:space="0" w:color="auto"/>
            <w:right w:val="none" w:sz="0" w:space="0" w:color="auto"/>
          </w:divBdr>
        </w:div>
      </w:divsChild>
    </w:div>
    <w:div w:id="21248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D4E6F-C814-4A44-99A1-4E1C5128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6433</Words>
  <Characters>34097</Characters>
  <Application>Microsoft Office Word</Application>
  <DocSecurity>4</DocSecurity>
  <Lines>284</Lines>
  <Paragraphs>80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40450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K. Ellingsen</dc:creator>
  <cp:lastModifiedBy>Hilde K. Ellingsen</cp:lastModifiedBy>
  <cp:revision>2</cp:revision>
  <cp:lastPrinted>2018-05-22T07:51:00Z</cp:lastPrinted>
  <dcterms:created xsi:type="dcterms:W3CDTF">2019-02-04T12:10:00Z</dcterms:created>
  <dcterms:modified xsi:type="dcterms:W3CDTF">2019-02-04T12:10:00Z</dcterms:modified>
</cp:coreProperties>
</file>